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C06223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w:t>
      </w:r>
      <w:r w:rsidRPr="00B266B0">
        <w:rPr>
          <w:bCs/>
          <w:noProof w:val="0"/>
          <w:sz w:val="24"/>
          <w:szCs w:val="24"/>
        </w:rPr>
        <w:tab/>
      </w:r>
      <w:r w:rsidR="00DD373C" w:rsidRPr="00DD373C">
        <w:rPr>
          <w:bCs/>
          <w:noProof w:val="0"/>
          <w:sz w:val="24"/>
          <w:szCs w:val="24"/>
        </w:rPr>
        <w:t>R2-1902769</w:t>
      </w:r>
      <w:bookmarkStart w:id="0" w:name="_GoBack"/>
      <w:bookmarkEnd w:id="0"/>
    </w:p>
    <w:p w14:paraId="11776FA6" w14:textId="76693E0E" w:rsidR="00A209D6" w:rsidRPr="00465587" w:rsidRDefault="00A209D6" w:rsidP="00A209D6">
      <w:pPr>
        <w:pStyle w:val="Header"/>
        <w:tabs>
          <w:tab w:val="right" w:pos="9639"/>
        </w:tabs>
        <w:rPr>
          <w:rFonts w:eastAsia="SimSun"/>
          <w:bCs/>
          <w:sz w:val="24"/>
          <w:szCs w:val="24"/>
          <w:lang w:eastAsia="zh-CN"/>
        </w:rPr>
      </w:pPr>
      <w:r w:rsidRPr="00465587">
        <w:rPr>
          <w:rFonts w:eastAsia="SimSun"/>
          <w:bCs/>
          <w:sz w:val="24"/>
          <w:szCs w:val="24"/>
          <w:lang w:eastAsia="zh-CN"/>
        </w:rPr>
        <w:t>Athens, Greece, 25 Feb - 01 Mar 2019</w:t>
      </w: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85F908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35D27">
        <w:rPr>
          <w:rFonts w:cs="Arial"/>
          <w:b/>
          <w:bCs/>
          <w:sz w:val="24"/>
          <w:lang w:eastAsia="ja-JP"/>
        </w:rPr>
        <w:t>10.4.1.3.2</w:t>
      </w:r>
    </w:p>
    <w:p w14:paraId="73188B46" w14:textId="4082D66F"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B35D27">
        <w:rPr>
          <w:rFonts w:ascii="Arial" w:hAnsi="Arial" w:cs="Arial"/>
          <w:b/>
          <w:bCs/>
          <w:sz w:val="24"/>
        </w:rPr>
        <w:t xml:space="preserve"> (Rapporteur)</w:t>
      </w:r>
    </w:p>
    <w:p w14:paraId="0FA3EF00" w14:textId="27D1F55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35D27">
        <w:rPr>
          <w:rFonts w:ascii="Arial" w:hAnsi="Arial" w:cs="Arial"/>
          <w:b/>
          <w:bCs/>
          <w:sz w:val="24"/>
        </w:rPr>
        <w:t>Duplication</w:t>
      </w:r>
      <w:r w:rsidR="0033280D">
        <w:rPr>
          <w:rFonts w:ascii="Arial" w:hAnsi="Arial" w:cs="Arial"/>
          <w:b/>
          <w:bCs/>
          <w:sz w:val="24"/>
        </w:rPr>
        <w:t xml:space="preserve"> Restrictions</w:t>
      </w:r>
    </w:p>
    <w:p w14:paraId="1F147C23" w14:textId="7777777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112F1A">
        <w:rPr>
          <w:rFonts w:ascii="Arial" w:hAnsi="Arial" w:cs="Arial"/>
          <w:b/>
          <w:bCs/>
          <w:sz w:val="24"/>
        </w:rPr>
        <w:t xml:space="preserve">NR_newRAT-Core </w:t>
      </w:r>
      <w:r>
        <w:rPr>
          <w:rFonts w:ascii="Arial" w:hAnsi="Arial" w:cs="Arial"/>
          <w:b/>
          <w:bCs/>
          <w:sz w:val="24"/>
        </w:rPr>
        <w:t>- Release 15</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41200885" w:rsidR="00A209D6" w:rsidRPr="00106B50" w:rsidRDefault="008966E4" w:rsidP="00FD55E9">
      <w:pPr>
        <w:rPr>
          <w:i/>
        </w:rPr>
      </w:pPr>
      <w:r>
        <w:t xml:space="preserve">The configuration of </w:t>
      </w:r>
      <w:r w:rsidRPr="00106B50">
        <w:rPr>
          <w:i/>
        </w:rPr>
        <w:t>allowedServingCells</w:t>
      </w:r>
      <w:r>
        <w:rPr>
          <w:rFonts w:eastAsia="Times New Roman" w:hint="eastAsia"/>
          <w:lang w:eastAsia="ja-JP"/>
        </w:rPr>
        <w:t xml:space="preserve"> </w:t>
      </w:r>
      <w:r w:rsidR="00182474">
        <w:rPr>
          <w:rFonts w:eastAsia="Times New Roman"/>
          <w:lang w:eastAsia="ja-JP"/>
        </w:rPr>
        <w:t xml:space="preserve">in case of duplication </w:t>
      </w:r>
      <w:r w:rsidR="00D3511B">
        <w:rPr>
          <w:rFonts w:eastAsia="Times New Roman"/>
          <w:lang w:val="en-US" w:eastAsia="ja-JP"/>
        </w:rPr>
        <w:t xml:space="preserve">was discussed at RAN2#105 with </w:t>
      </w:r>
      <w:hyperlink r:id="rId12" w:history="1">
        <w:r w:rsidR="000010EA" w:rsidRPr="008F3C1A">
          <w:rPr>
            <w:rStyle w:val="Hyperlink"/>
            <w:rFonts w:eastAsia="Times New Roman"/>
            <w:lang w:val="en-US" w:eastAsia="ja-JP"/>
          </w:rPr>
          <w:t>R2-1901051</w:t>
        </w:r>
      </w:hyperlink>
      <w:r w:rsidR="000010EA">
        <w:rPr>
          <w:rFonts w:eastAsia="Times New Roman"/>
          <w:lang w:val="en-US" w:eastAsia="ja-JP"/>
        </w:rPr>
        <w:t xml:space="preserve"> and </w:t>
      </w:r>
      <w:hyperlink r:id="rId13" w:history="1">
        <w:r w:rsidR="00193C0E" w:rsidRPr="003D620B">
          <w:rPr>
            <w:rStyle w:val="Hyperlink"/>
            <w:rFonts w:eastAsia="Times New Roman"/>
            <w:lang w:val="en-US" w:eastAsia="ja-JP"/>
          </w:rPr>
          <w:t>R2-1901230</w:t>
        </w:r>
      </w:hyperlink>
      <w:r w:rsidR="00FD55E9">
        <w:rPr>
          <w:rFonts w:eastAsia="Times New Roman"/>
          <w:lang w:val="en-US" w:eastAsia="ja-JP"/>
        </w:rPr>
        <w:t xml:space="preserve">. Since there was no consensus on possible restrictions, an email discussion was agreed to </w:t>
      </w:r>
      <w:r w:rsidR="002F17A2">
        <w:t xml:space="preserve">clarify </w:t>
      </w:r>
      <w:r w:rsidR="00106B50">
        <w:t xml:space="preserve">the configuration of </w:t>
      </w:r>
      <w:r w:rsidR="00106B50" w:rsidRPr="00106B50">
        <w:rPr>
          <w:i/>
        </w:rPr>
        <w:t>allowedServingCells</w:t>
      </w:r>
      <w:r w:rsidR="00106B50">
        <w:t xml:space="preserve"> in case of duplication</w:t>
      </w:r>
      <w:r w:rsidR="00A209D6">
        <w:t>.</w:t>
      </w:r>
    </w:p>
    <w:p w14:paraId="2BBFF540" w14:textId="4EABF630" w:rsidR="00A209D6" w:rsidRPr="006E13D1" w:rsidRDefault="00A209D6" w:rsidP="00A209D6">
      <w:pPr>
        <w:pStyle w:val="Heading1"/>
      </w:pPr>
      <w:r w:rsidRPr="006E13D1">
        <w:t>2</w:t>
      </w:r>
      <w:r w:rsidRPr="006E13D1">
        <w:tab/>
      </w:r>
      <w:r w:rsidR="005D27CC">
        <w:t>Discussion</w:t>
      </w:r>
    </w:p>
    <w:p w14:paraId="424E122F" w14:textId="6317BC6E" w:rsidR="006C1E95" w:rsidRDefault="00624AD0" w:rsidP="00A209D6">
      <w:r>
        <w:t xml:space="preserve">The issue to discuss is whether </w:t>
      </w:r>
      <w:r w:rsidR="00382D1C">
        <w:t>both the primary and secondary path</w:t>
      </w:r>
      <w:r w:rsidR="005723D9">
        <w:t>s</w:t>
      </w:r>
      <w:r w:rsidR="00382D1C">
        <w:t xml:space="preserve"> can be configured to</w:t>
      </w:r>
      <w:r w:rsidR="009F5278">
        <w:t xml:space="preserve"> exclude the SpCell</w:t>
      </w:r>
      <w:r w:rsidR="00A209D6" w:rsidRPr="006E13D1">
        <w:t>.</w:t>
      </w:r>
      <w:r w:rsidR="00534E31">
        <w:t xml:space="preserve"> </w:t>
      </w:r>
      <w:r w:rsidR="005723D9">
        <w:t xml:space="preserve">In other words, is it possible for the primary path to </w:t>
      </w:r>
      <w:r w:rsidR="00954577">
        <w:t xml:space="preserve">also </w:t>
      </w:r>
      <w:r w:rsidR="005723D9">
        <w:t xml:space="preserve">exclude </w:t>
      </w:r>
      <w:r w:rsidR="00954577">
        <w:t xml:space="preserve">the SpCell? </w:t>
      </w:r>
      <w:r w:rsidR="00534E31">
        <w:t>Let us consider DRBs and SRBs separately.</w:t>
      </w:r>
      <w:r w:rsidR="00F10D03">
        <w:t xml:space="preserve"> </w:t>
      </w:r>
      <w:r w:rsidR="006C1E95">
        <w:t xml:space="preserve">For SRBs, RAN2 already agreed that </w:t>
      </w:r>
      <w:r w:rsidR="00C372C6">
        <w:t>“</w:t>
      </w:r>
      <w:r w:rsidR="00C372C6" w:rsidRPr="00C372C6">
        <w:rPr>
          <w:i/>
        </w:rPr>
        <w:t>R2 assumes that for SRB with Cell restrictions, at least one leg should be configured on SpCell</w:t>
      </w:r>
      <w:r w:rsidR="00C372C6">
        <w:t>”</w:t>
      </w:r>
      <w:r w:rsidR="000B2DE2">
        <w:t xml:space="preserve"> [</w:t>
      </w:r>
      <w:hyperlink r:id="rId14" w:history="1">
        <w:r w:rsidR="00415A25" w:rsidRPr="00415A25">
          <w:rPr>
            <w:rStyle w:val="Hyperlink"/>
          </w:rPr>
          <w:t>R2-1810775</w:t>
        </w:r>
      </w:hyperlink>
      <w:r w:rsidR="000B2DE2">
        <w:t>]</w:t>
      </w:r>
      <w:r w:rsidR="00AB5CA6">
        <w:t>.</w:t>
      </w:r>
    </w:p>
    <w:p w14:paraId="7270CBD8" w14:textId="17111B57" w:rsidR="003D1353" w:rsidRDefault="003D1353" w:rsidP="003D1353">
      <w:pPr>
        <w:pStyle w:val="NO"/>
      </w:pPr>
      <w:r>
        <w:t>NOTE:</w:t>
      </w:r>
      <w:r>
        <w:tab/>
      </w:r>
      <w:r w:rsidR="00F10D03">
        <w:t xml:space="preserve">the agreed model in RAN2 distinguishes the primary </w:t>
      </w:r>
      <w:r w:rsidR="008F4791">
        <w:t xml:space="preserve">path </w:t>
      </w:r>
      <w:r w:rsidR="00F10D03">
        <w:t xml:space="preserve">from the secondary </w:t>
      </w:r>
      <w:r w:rsidR="008F4791">
        <w:t>one</w:t>
      </w:r>
      <w:r w:rsidR="00F10D03">
        <w:t xml:space="preserve"> in 38.300, 38.</w:t>
      </w:r>
      <w:r w:rsidR="00537230">
        <w:t>323</w:t>
      </w:r>
      <w:r w:rsidR="00F10D03">
        <w:t xml:space="preserve"> and 38.331</w:t>
      </w:r>
      <w:r w:rsidR="00835362">
        <w:t xml:space="preserve"> and although it would be possible</w:t>
      </w:r>
      <w:r w:rsidR="009D0733">
        <w:t xml:space="preserve"> to </w:t>
      </w:r>
      <w:r w:rsidR="009222B1">
        <w:t>map the SpCell to the secondary path</w:t>
      </w:r>
      <w:r w:rsidR="00D02CC9" w:rsidRPr="00D02CC9">
        <w:t xml:space="preserve"> </w:t>
      </w:r>
      <w:r w:rsidR="00D02CC9">
        <w:t>in theory</w:t>
      </w:r>
      <w:r w:rsidR="009222B1">
        <w:t xml:space="preserve">, it is the rapporteur view that it </w:t>
      </w:r>
      <w:r w:rsidR="00F91068">
        <w:t>blurs the usefulness of the model without clear benefits</w:t>
      </w:r>
      <w:r w:rsidR="00933777">
        <w:t xml:space="preserve"> as </w:t>
      </w:r>
      <w:r w:rsidR="00BE0D8A">
        <w:t xml:space="preserve">an </w:t>
      </w:r>
      <w:r w:rsidR="00185391">
        <w:t>equivalent</w:t>
      </w:r>
      <w:r w:rsidR="00933777">
        <w:t xml:space="preserve"> can be achieved by switching the cells </w:t>
      </w:r>
      <w:r w:rsidR="00BE0D8A">
        <w:t>in the two paths</w:t>
      </w:r>
      <w:r w:rsidR="00185391">
        <w:t xml:space="preserve"> and sticking to the agreed model</w:t>
      </w:r>
      <w:r w:rsidR="00BE0D8A">
        <w:t>.</w:t>
      </w:r>
      <w:r w:rsidR="001220DB">
        <w:t xml:space="preserve"> Besides, since only the secondary path </w:t>
      </w:r>
      <w:r w:rsidR="00171153">
        <w:t xml:space="preserve">can be deactivated, using the SpCell </w:t>
      </w:r>
      <w:r w:rsidR="000B6C5D">
        <w:t xml:space="preserve">– which cannot be deactivated – </w:t>
      </w:r>
      <w:r w:rsidR="001A51F0">
        <w:t xml:space="preserve">for that path </w:t>
      </w:r>
      <w:r w:rsidR="000B6C5D">
        <w:t>would seem odd.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13"/>
        <w:gridCol w:w="1784"/>
        <w:gridCol w:w="5779"/>
      </w:tblGrid>
      <w:tr w:rsidR="00247E1D" w:rsidRPr="00172262" w14:paraId="6235F3D4" w14:textId="77777777" w:rsidTr="004F305C">
        <w:trPr>
          <w:trHeight w:val="240"/>
          <w:jc w:val="center"/>
        </w:trPr>
        <w:tc>
          <w:tcPr>
            <w:tcW w:w="9576" w:type="dxa"/>
            <w:gridSpan w:val="3"/>
            <w:tcBorders>
              <w:top w:val="single" w:sz="4" w:space="0" w:color="auto"/>
              <w:left w:val="single" w:sz="4" w:space="0" w:color="auto"/>
              <w:bottom w:val="single" w:sz="4" w:space="0" w:color="auto"/>
              <w:right w:val="single" w:sz="4" w:space="0" w:color="auto"/>
            </w:tcBorders>
            <w:shd w:val="clear" w:color="auto" w:fill="7F7F7F"/>
            <w:noWrap/>
          </w:tcPr>
          <w:p w14:paraId="7298926A" w14:textId="40BED0D4" w:rsidR="00247E1D" w:rsidRPr="00172262" w:rsidRDefault="00247E1D" w:rsidP="004F305C">
            <w:pPr>
              <w:pStyle w:val="TAH"/>
              <w:spacing w:before="20" w:after="20"/>
              <w:ind w:left="57" w:right="57"/>
              <w:jc w:val="left"/>
              <w:rPr>
                <w:color w:val="FFFFFF"/>
                <w:sz w:val="16"/>
              </w:rPr>
            </w:pPr>
            <w:r>
              <w:rPr>
                <w:color w:val="FFFFFF"/>
                <w:sz w:val="16"/>
              </w:rPr>
              <w:lastRenderedPageBreak/>
              <w:t>Question 1</w:t>
            </w:r>
            <w:r w:rsidRPr="00172262">
              <w:rPr>
                <w:color w:val="FFFFFF"/>
                <w:sz w:val="16"/>
              </w:rPr>
              <w:t>:</w:t>
            </w:r>
            <w:r>
              <w:rPr>
                <w:color w:val="FFFFFF"/>
                <w:sz w:val="16"/>
              </w:rPr>
              <w:t xml:space="preserve"> For </w:t>
            </w:r>
            <w:r w:rsidR="0098332A">
              <w:rPr>
                <w:color w:val="FFFFFF"/>
                <w:sz w:val="16"/>
              </w:rPr>
              <w:t xml:space="preserve">a </w:t>
            </w:r>
            <w:r w:rsidR="00940173">
              <w:rPr>
                <w:color w:val="FFFFFF"/>
                <w:sz w:val="16"/>
              </w:rPr>
              <w:t xml:space="preserve">duplicated </w:t>
            </w:r>
            <w:r>
              <w:rPr>
                <w:color w:val="FFFFFF"/>
                <w:sz w:val="16"/>
              </w:rPr>
              <w:t xml:space="preserve">SRB, </w:t>
            </w:r>
            <w:r w:rsidR="00643512">
              <w:rPr>
                <w:color w:val="FFFFFF"/>
                <w:sz w:val="16"/>
              </w:rPr>
              <w:t xml:space="preserve">should </w:t>
            </w:r>
            <w:r w:rsidR="00F034AC">
              <w:rPr>
                <w:color w:val="FFFFFF"/>
                <w:sz w:val="16"/>
              </w:rPr>
              <w:t>the SpCell</w:t>
            </w:r>
            <w:r w:rsidR="00643512">
              <w:rPr>
                <w:color w:val="FFFFFF"/>
                <w:sz w:val="16"/>
              </w:rPr>
              <w:t xml:space="preserve"> always be configured for the primary path?</w:t>
            </w:r>
          </w:p>
        </w:tc>
      </w:tr>
      <w:tr w:rsidR="00247E1D" w:rsidRPr="00172262" w14:paraId="7EA055BE" w14:textId="77777777" w:rsidTr="004F305C">
        <w:trPr>
          <w:trHeight w:val="240"/>
          <w:jc w:val="center"/>
        </w:trPr>
        <w:tc>
          <w:tcPr>
            <w:tcW w:w="2013" w:type="dxa"/>
            <w:tcBorders>
              <w:top w:val="single" w:sz="4" w:space="0" w:color="auto"/>
              <w:left w:val="single" w:sz="4" w:space="0" w:color="auto"/>
              <w:bottom w:val="single" w:sz="4" w:space="0" w:color="auto"/>
              <w:right w:val="single" w:sz="4" w:space="0" w:color="auto"/>
            </w:tcBorders>
            <w:noWrap/>
          </w:tcPr>
          <w:p w14:paraId="4AD7E7A7" w14:textId="77777777" w:rsidR="00247E1D" w:rsidRPr="00172262" w:rsidRDefault="00247E1D" w:rsidP="004F305C">
            <w:pPr>
              <w:pStyle w:val="TAH"/>
              <w:spacing w:before="20" w:after="20"/>
              <w:ind w:left="57" w:right="57"/>
              <w:jc w:val="left"/>
              <w:rPr>
                <w:sz w:val="16"/>
              </w:rPr>
            </w:pPr>
            <w:r w:rsidRPr="00172262">
              <w:rPr>
                <w:sz w:val="16"/>
              </w:rPr>
              <w:t>Company</w:t>
            </w:r>
          </w:p>
        </w:tc>
        <w:tc>
          <w:tcPr>
            <w:tcW w:w="1784" w:type="dxa"/>
            <w:tcBorders>
              <w:top w:val="single" w:sz="4" w:space="0" w:color="auto"/>
              <w:left w:val="single" w:sz="4" w:space="0" w:color="auto"/>
              <w:bottom w:val="single" w:sz="4" w:space="0" w:color="auto"/>
              <w:right w:val="single" w:sz="4" w:space="0" w:color="auto"/>
            </w:tcBorders>
          </w:tcPr>
          <w:p w14:paraId="57DED120" w14:textId="77777777" w:rsidR="00247E1D" w:rsidRPr="00172262" w:rsidRDefault="00247E1D" w:rsidP="004F305C">
            <w:pPr>
              <w:pStyle w:val="TAH"/>
              <w:spacing w:before="20" w:after="20"/>
              <w:ind w:left="57" w:right="57"/>
              <w:jc w:val="left"/>
              <w:rPr>
                <w:sz w:val="16"/>
              </w:rPr>
            </w:pPr>
            <w:r w:rsidRPr="00172262">
              <w:rPr>
                <w:sz w:val="16"/>
              </w:rPr>
              <w:t>Yes/No</w:t>
            </w:r>
          </w:p>
        </w:tc>
        <w:tc>
          <w:tcPr>
            <w:tcW w:w="5779" w:type="dxa"/>
            <w:tcBorders>
              <w:top w:val="single" w:sz="4" w:space="0" w:color="auto"/>
              <w:left w:val="single" w:sz="4" w:space="0" w:color="auto"/>
              <w:bottom w:val="single" w:sz="4" w:space="0" w:color="auto"/>
              <w:right w:val="single" w:sz="4" w:space="0" w:color="auto"/>
            </w:tcBorders>
            <w:noWrap/>
          </w:tcPr>
          <w:p w14:paraId="1A09A234" w14:textId="77777777" w:rsidR="00247E1D" w:rsidRPr="00172262" w:rsidRDefault="00247E1D" w:rsidP="004F305C">
            <w:pPr>
              <w:pStyle w:val="TAH"/>
              <w:spacing w:before="20" w:after="20"/>
              <w:ind w:left="57" w:right="57"/>
              <w:jc w:val="left"/>
              <w:rPr>
                <w:sz w:val="16"/>
              </w:rPr>
            </w:pPr>
            <w:r>
              <w:rPr>
                <w:sz w:val="16"/>
              </w:rPr>
              <w:t>Comments</w:t>
            </w:r>
          </w:p>
        </w:tc>
      </w:tr>
      <w:tr w:rsidR="00247E1D" w:rsidRPr="00172262" w14:paraId="15D33D6B" w14:textId="77777777" w:rsidTr="004F305C">
        <w:trPr>
          <w:trHeight w:val="240"/>
          <w:jc w:val="center"/>
        </w:trPr>
        <w:tc>
          <w:tcPr>
            <w:tcW w:w="2013" w:type="dxa"/>
            <w:tcBorders>
              <w:top w:val="single" w:sz="4" w:space="0" w:color="auto"/>
              <w:left w:val="single" w:sz="4" w:space="0" w:color="auto"/>
              <w:bottom w:val="single" w:sz="4" w:space="0" w:color="auto"/>
              <w:right w:val="single" w:sz="4" w:space="0" w:color="auto"/>
            </w:tcBorders>
            <w:noWrap/>
          </w:tcPr>
          <w:p w14:paraId="68064458" w14:textId="322DBB35" w:rsidR="00247E1D" w:rsidRPr="00172262" w:rsidRDefault="00D62FE5" w:rsidP="004F305C">
            <w:pPr>
              <w:pStyle w:val="TAC"/>
              <w:spacing w:before="20" w:after="20"/>
              <w:ind w:left="57" w:right="57"/>
              <w:jc w:val="left"/>
              <w:rPr>
                <w:sz w:val="16"/>
              </w:rPr>
            </w:pPr>
            <w:r>
              <w:rPr>
                <w:sz w:val="16"/>
              </w:rPr>
              <w:t>Nokia</w:t>
            </w:r>
          </w:p>
        </w:tc>
        <w:tc>
          <w:tcPr>
            <w:tcW w:w="1784" w:type="dxa"/>
            <w:tcBorders>
              <w:top w:val="single" w:sz="4" w:space="0" w:color="auto"/>
              <w:left w:val="single" w:sz="4" w:space="0" w:color="auto"/>
              <w:bottom w:val="single" w:sz="4" w:space="0" w:color="auto"/>
              <w:right w:val="single" w:sz="4" w:space="0" w:color="auto"/>
            </w:tcBorders>
          </w:tcPr>
          <w:p w14:paraId="5378DA94" w14:textId="036D38D2" w:rsidR="00247E1D" w:rsidRPr="00172262" w:rsidRDefault="00D62FE5" w:rsidP="004F305C">
            <w:pPr>
              <w:pStyle w:val="TAC"/>
              <w:spacing w:before="20" w:after="20"/>
              <w:ind w:left="57" w:right="57"/>
              <w:jc w:val="left"/>
              <w:rPr>
                <w:sz w:val="16"/>
              </w:rPr>
            </w:pPr>
            <w:r>
              <w:rPr>
                <w:sz w:val="16"/>
              </w:rPr>
              <w:t>Yes</w:t>
            </w:r>
          </w:p>
        </w:tc>
        <w:tc>
          <w:tcPr>
            <w:tcW w:w="5779" w:type="dxa"/>
            <w:tcBorders>
              <w:top w:val="single" w:sz="4" w:space="0" w:color="auto"/>
              <w:left w:val="single" w:sz="4" w:space="0" w:color="auto"/>
              <w:bottom w:val="single" w:sz="4" w:space="0" w:color="auto"/>
              <w:right w:val="single" w:sz="4" w:space="0" w:color="auto"/>
            </w:tcBorders>
            <w:noWrap/>
          </w:tcPr>
          <w:p w14:paraId="5E664E35" w14:textId="23C0E21D" w:rsidR="00247E1D" w:rsidRPr="00172262" w:rsidRDefault="006E7428" w:rsidP="004F305C">
            <w:pPr>
              <w:pStyle w:val="TAC"/>
              <w:spacing w:before="20" w:after="20"/>
              <w:ind w:left="57" w:right="57"/>
              <w:jc w:val="left"/>
              <w:rPr>
                <w:sz w:val="16"/>
              </w:rPr>
            </w:pPr>
            <w:r>
              <w:rPr>
                <w:sz w:val="16"/>
              </w:rPr>
              <w:t>As already agreed.</w:t>
            </w:r>
          </w:p>
        </w:tc>
      </w:tr>
      <w:tr w:rsidR="00E3537F" w:rsidRPr="00172262" w14:paraId="1B6E02EF" w14:textId="77777777" w:rsidTr="004F305C">
        <w:trPr>
          <w:trHeight w:val="240"/>
          <w:jc w:val="center"/>
        </w:trPr>
        <w:tc>
          <w:tcPr>
            <w:tcW w:w="2013" w:type="dxa"/>
            <w:tcBorders>
              <w:top w:val="single" w:sz="4" w:space="0" w:color="auto"/>
            </w:tcBorders>
            <w:noWrap/>
          </w:tcPr>
          <w:p w14:paraId="63E7F681" w14:textId="255DB3FD" w:rsidR="00E3537F" w:rsidRPr="00172262" w:rsidRDefault="00E3537F" w:rsidP="00E3537F">
            <w:pPr>
              <w:pStyle w:val="TAC"/>
              <w:spacing w:before="20" w:after="20"/>
              <w:ind w:left="57" w:right="57"/>
              <w:jc w:val="left"/>
              <w:rPr>
                <w:rFonts w:eastAsia="PMingLiU"/>
                <w:sz w:val="16"/>
                <w:lang w:eastAsia="zh-TW"/>
              </w:rPr>
            </w:pPr>
            <w:r>
              <w:rPr>
                <w:rFonts w:eastAsia="Malgun Gothic" w:hint="eastAsia"/>
                <w:sz w:val="16"/>
                <w:lang w:eastAsia="ko-KR"/>
              </w:rPr>
              <w:t>Samsung</w:t>
            </w:r>
          </w:p>
        </w:tc>
        <w:tc>
          <w:tcPr>
            <w:tcW w:w="1784" w:type="dxa"/>
            <w:tcBorders>
              <w:top w:val="single" w:sz="4" w:space="0" w:color="auto"/>
            </w:tcBorders>
          </w:tcPr>
          <w:p w14:paraId="54E89B63" w14:textId="4CEB60A6" w:rsidR="00E3537F" w:rsidRPr="00172262" w:rsidRDefault="00E3537F" w:rsidP="00E3537F">
            <w:pPr>
              <w:pStyle w:val="TAC"/>
              <w:spacing w:before="20" w:after="20"/>
              <w:ind w:left="57" w:right="57"/>
              <w:jc w:val="left"/>
              <w:rPr>
                <w:rFonts w:eastAsia="PMingLiU"/>
                <w:sz w:val="16"/>
                <w:lang w:eastAsia="zh-TW"/>
              </w:rPr>
            </w:pPr>
            <w:r>
              <w:rPr>
                <w:rFonts w:eastAsia="Malgun Gothic" w:hint="eastAsia"/>
                <w:sz w:val="16"/>
                <w:lang w:eastAsia="ko-KR"/>
              </w:rPr>
              <w:t>No</w:t>
            </w:r>
          </w:p>
        </w:tc>
        <w:tc>
          <w:tcPr>
            <w:tcW w:w="5779" w:type="dxa"/>
            <w:tcBorders>
              <w:top w:val="single" w:sz="4" w:space="0" w:color="auto"/>
            </w:tcBorders>
            <w:noWrap/>
          </w:tcPr>
          <w:p w14:paraId="1C80FCC6" w14:textId="7CE79C6D" w:rsidR="00E3537F" w:rsidRPr="00172262" w:rsidRDefault="00E3537F" w:rsidP="00E3537F">
            <w:pPr>
              <w:pStyle w:val="TAC"/>
              <w:spacing w:before="20" w:after="20"/>
              <w:ind w:left="57" w:right="57"/>
              <w:jc w:val="left"/>
              <w:rPr>
                <w:rFonts w:eastAsia="PMingLiU"/>
                <w:sz w:val="16"/>
                <w:lang w:eastAsia="zh-TW"/>
              </w:rPr>
            </w:pPr>
            <w:r>
              <w:rPr>
                <w:rFonts w:eastAsia="Malgun Gothic" w:hint="eastAsia"/>
                <w:sz w:val="16"/>
                <w:lang w:eastAsia="ko-KR"/>
              </w:rPr>
              <w:t xml:space="preserve">The agreed one was that SpCell should be configured for at least one leg. This leg does not need to be the primary leg.  Although we understand that the primary leg usually uses SpCell in most cases, the current text already allows the secondary leg using SpCell. We think the configuration is up to NW and it does not harm at all. </w:t>
            </w:r>
            <w:proofErr w:type="gramStart"/>
            <w:r>
              <w:rPr>
                <w:rFonts w:eastAsia="Malgun Gothic" w:hint="eastAsia"/>
                <w:sz w:val="16"/>
                <w:lang w:eastAsia="ko-KR"/>
              </w:rPr>
              <w:t>So</w:t>
            </w:r>
            <w:proofErr w:type="gramEnd"/>
            <w:r>
              <w:rPr>
                <w:rFonts w:eastAsia="Malgun Gothic" w:hint="eastAsia"/>
                <w:sz w:val="16"/>
                <w:lang w:eastAsia="ko-KR"/>
              </w:rPr>
              <w:t xml:space="preserve"> we prefer to keep the current text.</w:t>
            </w:r>
          </w:p>
        </w:tc>
      </w:tr>
      <w:tr w:rsidR="00E3537F" w:rsidRPr="00172262" w14:paraId="4110809E" w14:textId="77777777" w:rsidTr="004F305C">
        <w:trPr>
          <w:trHeight w:val="240"/>
          <w:jc w:val="center"/>
        </w:trPr>
        <w:tc>
          <w:tcPr>
            <w:tcW w:w="2013" w:type="dxa"/>
            <w:noWrap/>
          </w:tcPr>
          <w:p w14:paraId="66735DD8" w14:textId="5C68FB21" w:rsidR="00E3537F" w:rsidRPr="00172262" w:rsidRDefault="00E3537F" w:rsidP="00E3537F">
            <w:pPr>
              <w:pStyle w:val="TAC"/>
              <w:spacing w:before="20" w:after="20"/>
              <w:ind w:left="57" w:right="57"/>
              <w:jc w:val="left"/>
              <w:rPr>
                <w:sz w:val="16"/>
              </w:rPr>
            </w:pPr>
            <w:r>
              <w:rPr>
                <w:sz w:val="16"/>
              </w:rPr>
              <w:t>vivo</w:t>
            </w:r>
          </w:p>
        </w:tc>
        <w:tc>
          <w:tcPr>
            <w:tcW w:w="1784" w:type="dxa"/>
          </w:tcPr>
          <w:p w14:paraId="72E40B32" w14:textId="427712CE" w:rsidR="00E3537F" w:rsidRPr="00172262" w:rsidRDefault="00E3537F" w:rsidP="00E3537F">
            <w:pPr>
              <w:pStyle w:val="TAC"/>
              <w:spacing w:before="20" w:after="20"/>
              <w:ind w:left="57" w:right="57"/>
              <w:jc w:val="left"/>
              <w:rPr>
                <w:sz w:val="16"/>
                <w:lang w:eastAsia="ja-JP"/>
              </w:rPr>
            </w:pPr>
            <w:r>
              <w:rPr>
                <w:sz w:val="16"/>
                <w:lang w:eastAsia="ja-JP"/>
              </w:rPr>
              <w:t>No</w:t>
            </w:r>
          </w:p>
        </w:tc>
        <w:tc>
          <w:tcPr>
            <w:tcW w:w="5779" w:type="dxa"/>
            <w:noWrap/>
          </w:tcPr>
          <w:p w14:paraId="6D193F4D" w14:textId="77777777" w:rsidR="00E3537F" w:rsidRDefault="00E3537F" w:rsidP="00E3537F">
            <w:pPr>
              <w:pStyle w:val="TAC"/>
              <w:spacing w:before="20" w:after="20"/>
              <w:ind w:left="57" w:right="57"/>
              <w:jc w:val="left"/>
              <w:rPr>
                <w:sz w:val="16"/>
              </w:rPr>
            </w:pPr>
            <w:r>
              <w:rPr>
                <w:sz w:val="16"/>
              </w:rPr>
              <w:t>The SRB does not require a primary leg, as the PDCP duplication for SRB is always activated. According to the current PDCP specification, the primary leg is used only for the DRB.</w:t>
            </w:r>
          </w:p>
          <w:p w14:paraId="318E744D" w14:textId="7C9E5E56" w:rsidR="00E3537F" w:rsidRPr="00172262" w:rsidRDefault="00E3537F" w:rsidP="00E3537F">
            <w:pPr>
              <w:pStyle w:val="TAC"/>
              <w:spacing w:before="20" w:after="20"/>
              <w:ind w:left="57" w:right="57"/>
              <w:jc w:val="left"/>
              <w:rPr>
                <w:sz w:val="16"/>
              </w:rPr>
            </w:pPr>
            <w:proofErr w:type="gramStart"/>
            <w:r>
              <w:rPr>
                <w:sz w:val="16"/>
              </w:rPr>
              <w:t>Thus</w:t>
            </w:r>
            <w:proofErr w:type="gramEnd"/>
            <w:r>
              <w:rPr>
                <w:sz w:val="16"/>
              </w:rPr>
              <w:t xml:space="preserve"> the SRB would only needs the SpCell configured for at least one leg which can be any one of the two configured legs.</w:t>
            </w:r>
          </w:p>
        </w:tc>
      </w:tr>
      <w:tr w:rsidR="00E3537F" w:rsidRPr="00172262" w14:paraId="4B271C16" w14:textId="77777777" w:rsidTr="004F305C">
        <w:trPr>
          <w:trHeight w:val="240"/>
          <w:jc w:val="center"/>
        </w:trPr>
        <w:tc>
          <w:tcPr>
            <w:tcW w:w="2013" w:type="dxa"/>
            <w:tcBorders>
              <w:top w:val="single" w:sz="4" w:space="0" w:color="auto"/>
            </w:tcBorders>
            <w:noWrap/>
          </w:tcPr>
          <w:p w14:paraId="312314A7" w14:textId="629602B3" w:rsidR="00E3537F" w:rsidRPr="00172262" w:rsidRDefault="00E3537F" w:rsidP="00E3537F">
            <w:pPr>
              <w:pStyle w:val="TAC"/>
              <w:spacing w:before="20" w:after="20"/>
              <w:ind w:left="57" w:right="57"/>
              <w:jc w:val="left"/>
              <w:rPr>
                <w:sz w:val="16"/>
              </w:rPr>
            </w:pPr>
            <w:r>
              <w:rPr>
                <w:sz w:val="16"/>
              </w:rPr>
              <w:t>Qualcomm</w:t>
            </w:r>
          </w:p>
        </w:tc>
        <w:tc>
          <w:tcPr>
            <w:tcW w:w="1784" w:type="dxa"/>
            <w:tcBorders>
              <w:top w:val="single" w:sz="4" w:space="0" w:color="auto"/>
            </w:tcBorders>
          </w:tcPr>
          <w:p w14:paraId="29DC09AF" w14:textId="2FF277CD" w:rsidR="00E3537F" w:rsidRPr="00172262" w:rsidRDefault="00E3537F" w:rsidP="00E3537F">
            <w:pPr>
              <w:pStyle w:val="TAC"/>
              <w:spacing w:before="20" w:after="20"/>
              <w:ind w:left="57" w:right="57"/>
              <w:jc w:val="left"/>
              <w:rPr>
                <w:sz w:val="16"/>
              </w:rPr>
            </w:pPr>
            <w:r>
              <w:rPr>
                <w:sz w:val="16"/>
              </w:rPr>
              <w:t>No</w:t>
            </w:r>
          </w:p>
        </w:tc>
        <w:tc>
          <w:tcPr>
            <w:tcW w:w="5779" w:type="dxa"/>
            <w:tcBorders>
              <w:top w:val="single" w:sz="4" w:space="0" w:color="auto"/>
            </w:tcBorders>
            <w:noWrap/>
          </w:tcPr>
          <w:p w14:paraId="796C4F32" w14:textId="03EAC719" w:rsidR="00E3537F" w:rsidRPr="00172262" w:rsidRDefault="00E3537F" w:rsidP="00E3537F">
            <w:pPr>
              <w:pStyle w:val="TAC"/>
              <w:spacing w:before="20" w:after="20"/>
              <w:ind w:left="57" w:right="57"/>
              <w:jc w:val="left"/>
              <w:rPr>
                <w:sz w:val="16"/>
              </w:rPr>
            </w:pPr>
            <w:r>
              <w:rPr>
                <w:sz w:val="16"/>
              </w:rPr>
              <w:t>We don’t see there are problem to configure SpCell for either primary path or secondary path for SRB duplication. The configuration can be up to NW decision.</w:t>
            </w:r>
          </w:p>
        </w:tc>
      </w:tr>
      <w:tr w:rsidR="00E3537F" w:rsidRPr="00172262" w14:paraId="13CDD1DA" w14:textId="77777777" w:rsidTr="004F305C">
        <w:trPr>
          <w:trHeight w:val="240"/>
          <w:jc w:val="center"/>
        </w:trPr>
        <w:tc>
          <w:tcPr>
            <w:tcW w:w="2013" w:type="dxa"/>
            <w:tcBorders>
              <w:top w:val="single" w:sz="4" w:space="0" w:color="auto"/>
            </w:tcBorders>
            <w:noWrap/>
          </w:tcPr>
          <w:p w14:paraId="366D59A0" w14:textId="60E4B277" w:rsidR="00E3537F" w:rsidRPr="00813E0C" w:rsidRDefault="00E3537F" w:rsidP="00E3537F">
            <w:pPr>
              <w:pStyle w:val="TAC"/>
              <w:spacing w:before="20" w:after="20"/>
              <w:ind w:left="57" w:right="57"/>
              <w:jc w:val="left"/>
              <w:rPr>
                <w:rFonts w:eastAsia="SimSun"/>
                <w:sz w:val="16"/>
                <w:lang w:eastAsia="zh-CN"/>
              </w:rPr>
            </w:pPr>
            <w:r>
              <w:rPr>
                <w:rFonts w:eastAsia="SimSun" w:hint="eastAsia"/>
                <w:sz w:val="16"/>
                <w:lang w:eastAsia="zh-CN"/>
              </w:rPr>
              <w:t>O</w:t>
            </w:r>
            <w:r>
              <w:rPr>
                <w:rFonts w:eastAsia="SimSun"/>
                <w:sz w:val="16"/>
                <w:lang w:eastAsia="zh-CN"/>
              </w:rPr>
              <w:t>PPO</w:t>
            </w:r>
          </w:p>
        </w:tc>
        <w:tc>
          <w:tcPr>
            <w:tcW w:w="1784" w:type="dxa"/>
            <w:tcBorders>
              <w:top w:val="single" w:sz="4" w:space="0" w:color="auto"/>
            </w:tcBorders>
          </w:tcPr>
          <w:p w14:paraId="1C141C9A" w14:textId="409F7BC3" w:rsidR="00E3537F" w:rsidRPr="00813E0C" w:rsidRDefault="00E3537F" w:rsidP="00E3537F">
            <w:pPr>
              <w:pStyle w:val="TAC"/>
              <w:spacing w:before="20" w:after="20"/>
              <w:ind w:left="57" w:right="57"/>
              <w:jc w:val="left"/>
              <w:rPr>
                <w:rFonts w:eastAsia="SimSun"/>
                <w:sz w:val="16"/>
                <w:lang w:eastAsia="zh-CN"/>
              </w:rPr>
            </w:pPr>
            <w:r>
              <w:rPr>
                <w:rFonts w:eastAsia="SimSun" w:hint="eastAsia"/>
                <w:sz w:val="16"/>
                <w:lang w:eastAsia="zh-CN"/>
              </w:rPr>
              <w:t>Y</w:t>
            </w:r>
            <w:r>
              <w:rPr>
                <w:rFonts w:eastAsia="SimSun"/>
                <w:sz w:val="16"/>
                <w:lang w:eastAsia="zh-CN"/>
              </w:rPr>
              <w:t>es</w:t>
            </w:r>
          </w:p>
        </w:tc>
        <w:tc>
          <w:tcPr>
            <w:tcW w:w="5779" w:type="dxa"/>
            <w:tcBorders>
              <w:top w:val="single" w:sz="4" w:space="0" w:color="auto"/>
            </w:tcBorders>
            <w:noWrap/>
          </w:tcPr>
          <w:p w14:paraId="4A9A12BE" w14:textId="415BBD55" w:rsidR="00E3537F" w:rsidRPr="00813E0C" w:rsidRDefault="00E3537F" w:rsidP="00E3537F">
            <w:pPr>
              <w:pStyle w:val="TAC"/>
              <w:spacing w:before="20" w:after="20"/>
              <w:ind w:left="57" w:right="57"/>
              <w:jc w:val="left"/>
              <w:rPr>
                <w:rFonts w:eastAsia="SimSun"/>
                <w:sz w:val="16"/>
                <w:lang w:eastAsia="zh-CN"/>
              </w:rPr>
            </w:pPr>
            <w:r>
              <w:rPr>
                <w:rFonts w:eastAsia="SimSun" w:hint="eastAsia"/>
                <w:sz w:val="16"/>
                <w:lang w:eastAsia="zh-CN"/>
              </w:rPr>
              <w:t>S</w:t>
            </w:r>
            <w:r>
              <w:rPr>
                <w:rFonts w:eastAsia="SimSun"/>
                <w:sz w:val="16"/>
                <w:lang w:eastAsia="zh-CN"/>
              </w:rPr>
              <w:t>ince it is more of a network decision, we see benefit from UE vendor perspective if the possible configuration can be restricted. Furthermore, during duplication (de)configuration, RLC max re-transmission number of P-leg would cause different result, either RLF report via S-leg or RRC re-establishment, there might be inconsistency / ambiguity during the duplication (de)configuration procedure, which would be good to avoid in case SpCell is limited to P-leg.</w:t>
            </w:r>
          </w:p>
        </w:tc>
      </w:tr>
      <w:tr w:rsidR="00E3537F" w:rsidRPr="00172262" w14:paraId="1306DEE2" w14:textId="77777777" w:rsidTr="004F305C">
        <w:trPr>
          <w:trHeight w:val="240"/>
          <w:jc w:val="center"/>
        </w:trPr>
        <w:tc>
          <w:tcPr>
            <w:tcW w:w="2013" w:type="dxa"/>
            <w:noWrap/>
          </w:tcPr>
          <w:p w14:paraId="59F84EF7" w14:textId="777B4961" w:rsidR="00E3537F" w:rsidRPr="00D44637" w:rsidRDefault="00E3537F" w:rsidP="00E3537F">
            <w:pPr>
              <w:pStyle w:val="TAC"/>
              <w:spacing w:before="20" w:after="20"/>
              <w:ind w:left="57" w:right="57"/>
              <w:jc w:val="left"/>
              <w:rPr>
                <w:sz w:val="16"/>
              </w:rPr>
            </w:pPr>
            <w:r>
              <w:rPr>
                <w:rFonts w:eastAsia="Malgun Gothic" w:hint="eastAsia"/>
                <w:sz w:val="16"/>
                <w:lang w:eastAsia="ko-KR"/>
              </w:rPr>
              <w:t>LG</w:t>
            </w:r>
          </w:p>
        </w:tc>
        <w:tc>
          <w:tcPr>
            <w:tcW w:w="1784" w:type="dxa"/>
          </w:tcPr>
          <w:p w14:paraId="25FA5178" w14:textId="4FBB16D5" w:rsidR="00E3537F" w:rsidRPr="00172262" w:rsidRDefault="00E3537F" w:rsidP="00E3537F">
            <w:pPr>
              <w:pStyle w:val="TAC"/>
              <w:spacing w:before="20" w:after="20"/>
              <w:ind w:left="57" w:right="57"/>
              <w:jc w:val="left"/>
              <w:rPr>
                <w:sz w:val="16"/>
                <w:lang w:eastAsia="ja-JP"/>
              </w:rPr>
            </w:pPr>
            <w:r>
              <w:rPr>
                <w:rFonts w:eastAsia="Malgun Gothic" w:hint="eastAsia"/>
                <w:sz w:val="16"/>
                <w:lang w:eastAsia="ko-KR"/>
              </w:rPr>
              <w:t>???</w:t>
            </w:r>
          </w:p>
        </w:tc>
        <w:tc>
          <w:tcPr>
            <w:tcW w:w="5779" w:type="dxa"/>
            <w:noWrap/>
          </w:tcPr>
          <w:p w14:paraId="0F14261D" w14:textId="5767C850" w:rsidR="00E3537F" w:rsidRPr="00172262" w:rsidRDefault="00E3537F" w:rsidP="00E3537F">
            <w:pPr>
              <w:pStyle w:val="TAC"/>
              <w:spacing w:before="20" w:after="20"/>
              <w:ind w:left="57" w:right="57"/>
              <w:jc w:val="left"/>
              <w:rPr>
                <w:sz w:val="16"/>
              </w:rPr>
            </w:pPr>
            <w:r>
              <w:rPr>
                <w:rFonts w:eastAsia="Malgun Gothic"/>
                <w:sz w:val="16"/>
                <w:lang w:eastAsia="ko-KR"/>
              </w:rPr>
              <w:t>T</w:t>
            </w:r>
            <w:r>
              <w:rPr>
                <w:rFonts w:eastAsia="Malgun Gothic" w:hint="eastAsia"/>
                <w:sz w:val="16"/>
                <w:lang w:eastAsia="ko-KR"/>
              </w:rPr>
              <w:t xml:space="preserve">here is </w:t>
            </w:r>
            <w:r>
              <w:rPr>
                <w:rFonts w:eastAsia="Malgun Gothic"/>
                <w:sz w:val="16"/>
                <w:lang w:eastAsia="ko-KR"/>
              </w:rPr>
              <w:t xml:space="preserve">no </w:t>
            </w:r>
            <w:r>
              <w:rPr>
                <w:rFonts w:eastAsia="Malgun Gothic" w:hint="eastAsia"/>
                <w:sz w:val="16"/>
                <w:lang w:eastAsia="ko-KR"/>
              </w:rPr>
              <w:t xml:space="preserve">primary leg for SRBs because </w:t>
            </w:r>
            <w:r>
              <w:rPr>
                <w:rFonts w:eastAsia="Malgun Gothic"/>
                <w:sz w:val="16"/>
                <w:lang w:eastAsia="ko-KR"/>
              </w:rPr>
              <w:t>PDCP duplication is always activated once configured for SRBs. At least one leg should contain SpCell.</w:t>
            </w:r>
          </w:p>
        </w:tc>
      </w:tr>
      <w:tr w:rsidR="00E3537F" w:rsidRPr="00172262" w14:paraId="235A2F22" w14:textId="77777777" w:rsidTr="004F305C">
        <w:trPr>
          <w:trHeight w:val="240"/>
          <w:jc w:val="center"/>
        </w:trPr>
        <w:tc>
          <w:tcPr>
            <w:tcW w:w="2013" w:type="dxa"/>
            <w:noWrap/>
          </w:tcPr>
          <w:p w14:paraId="09A14E5C" w14:textId="437C8439" w:rsidR="00E3537F" w:rsidRPr="00D44637" w:rsidRDefault="00E3537F" w:rsidP="00E3537F">
            <w:pPr>
              <w:pStyle w:val="TAC"/>
              <w:spacing w:before="20" w:after="20"/>
              <w:ind w:left="57" w:right="57"/>
              <w:jc w:val="left"/>
              <w:rPr>
                <w:sz w:val="16"/>
              </w:rPr>
            </w:pPr>
            <w:r>
              <w:rPr>
                <w:rFonts w:eastAsia="Malgun Gothic" w:hint="eastAsia"/>
                <w:sz w:val="16"/>
                <w:lang w:eastAsia="ko-KR"/>
              </w:rPr>
              <w:t>ITL</w:t>
            </w:r>
          </w:p>
        </w:tc>
        <w:tc>
          <w:tcPr>
            <w:tcW w:w="1784" w:type="dxa"/>
          </w:tcPr>
          <w:p w14:paraId="0C47D320" w14:textId="1AE94C69" w:rsidR="00E3537F" w:rsidRPr="00172262" w:rsidRDefault="00E3537F" w:rsidP="00E3537F">
            <w:pPr>
              <w:pStyle w:val="TAC"/>
              <w:spacing w:before="20" w:after="20"/>
              <w:ind w:left="57" w:right="57"/>
              <w:jc w:val="left"/>
              <w:rPr>
                <w:sz w:val="16"/>
                <w:lang w:eastAsia="ja-JP"/>
              </w:rPr>
            </w:pPr>
            <w:r>
              <w:rPr>
                <w:rFonts w:eastAsia="Malgun Gothic" w:hint="eastAsia"/>
                <w:sz w:val="16"/>
                <w:lang w:eastAsia="ko-KR"/>
              </w:rPr>
              <w:t>No</w:t>
            </w:r>
          </w:p>
        </w:tc>
        <w:tc>
          <w:tcPr>
            <w:tcW w:w="5779" w:type="dxa"/>
            <w:noWrap/>
          </w:tcPr>
          <w:p w14:paraId="3A7B32D7" w14:textId="0325197C" w:rsidR="00E3537F" w:rsidRPr="00172262" w:rsidRDefault="00E3537F" w:rsidP="00E3537F">
            <w:pPr>
              <w:pStyle w:val="TAC"/>
              <w:spacing w:before="20" w:after="20"/>
              <w:ind w:left="57" w:right="57"/>
              <w:jc w:val="left"/>
              <w:rPr>
                <w:sz w:val="16"/>
              </w:rPr>
            </w:pPr>
            <w:r>
              <w:rPr>
                <w:rFonts w:eastAsia="Malgun Gothic" w:hint="eastAsia"/>
                <w:sz w:val="16"/>
                <w:lang w:eastAsia="ko-KR"/>
              </w:rPr>
              <w:t xml:space="preserve">We have a same understanding with Samsung </w:t>
            </w:r>
            <w:r>
              <w:rPr>
                <w:rFonts w:eastAsia="Malgun Gothic"/>
                <w:sz w:val="16"/>
                <w:lang w:eastAsia="ko-KR"/>
              </w:rPr>
              <w:t xml:space="preserve">and prefer to keep the current text. Also, when duplication is configured for an SRB, the state is always active. </w:t>
            </w:r>
          </w:p>
        </w:tc>
      </w:tr>
      <w:tr w:rsidR="00E3537F" w:rsidRPr="00172262" w14:paraId="04EDC12D" w14:textId="77777777" w:rsidTr="004F305C">
        <w:trPr>
          <w:trHeight w:val="240"/>
          <w:jc w:val="center"/>
        </w:trPr>
        <w:tc>
          <w:tcPr>
            <w:tcW w:w="2013" w:type="dxa"/>
            <w:noWrap/>
          </w:tcPr>
          <w:p w14:paraId="55CEFAB3" w14:textId="414F6C82" w:rsidR="00E3537F" w:rsidRPr="00172262" w:rsidRDefault="00E3537F" w:rsidP="00E3537F">
            <w:pPr>
              <w:pStyle w:val="TAC"/>
              <w:spacing w:before="20" w:after="20"/>
              <w:ind w:left="57" w:right="57"/>
              <w:jc w:val="left"/>
              <w:rPr>
                <w:sz w:val="16"/>
              </w:rPr>
            </w:pPr>
            <w:r>
              <w:rPr>
                <w:sz w:val="16"/>
              </w:rPr>
              <w:t xml:space="preserve"> Huawei</w:t>
            </w:r>
          </w:p>
        </w:tc>
        <w:tc>
          <w:tcPr>
            <w:tcW w:w="1784" w:type="dxa"/>
          </w:tcPr>
          <w:p w14:paraId="00748C95" w14:textId="1F02957E" w:rsidR="00E3537F" w:rsidRPr="00172262" w:rsidRDefault="00E3537F" w:rsidP="00E3537F">
            <w:pPr>
              <w:pStyle w:val="TAC"/>
              <w:spacing w:before="20" w:after="20"/>
              <w:ind w:left="57" w:right="57"/>
              <w:jc w:val="left"/>
              <w:rPr>
                <w:sz w:val="16"/>
                <w:lang w:eastAsia="ja-JP"/>
              </w:rPr>
            </w:pPr>
            <w:r>
              <w:rPr>
                <w:sz w:val="16"/>
                <w:lang w:eastAsia="ja-JP"/>
              </w:rPr>
              <w:t>No?</w:t>
            </w:r>
          </w:p>
        </w:tc>
        <w:tc>
          <w:tcPr>
            <w:tcW w:w="5779" w:type="dxa"/>
            <w:noWrap/>
          </w:tcPr>
          <w:p w14:paraId="1241E4A8" w14:textId="412DBA38" w:rsidR="00E3537F" w:rsidRPr="00172262" w:rsidRDefault="00E3537F" w:rsidP="00E3537F">
            <w:pPr>
              <w:pStyle w:val="TAC"/>
              <w:spacing w:before="20" w:after="20"/>
              <w:ind w:left="57" w:right="57"/>
              <w:jc w:val="left"/>
              <w:rPr>
                <w:sz w:val="16"/>
              </w:rPr>
            </w:pPr>
            <w:r>
              <w:rPr>
                <w:sz w:val="16"/>
              </w:rPr>
              <w:t>Same reason as Samsung. However, we may need to clarify the exact agreement “</w:t>
            </w:r>
            <w:r w:rsidRPr="005712FC">
              <w:rPr>
                <w:i/>
                <w:sz w:val="16"/>
              </w:rPr>
              <w:t>for SRB with Cell restrictions, at least one leg should be configured on SpCell</w:t>
            </w:r>
            <w:r>
              <w:rPr>
                <w:sz w:val="16"/>
              </w:rPr>
              <w:t xml:space="preserve">” in the filed description of </w:t>
            </w:r>
            <w:r w:rsidRPr="005712FC">
              <w:rPr>
                <w:i/>
                <w:sz w:val="16"/>
              </w:rPr>
              <w:t>allowedServingCells</w:t>
            </w:r>
            <w:r>
              <w:rPr>
                <w:i/>
                <w:sz w:val="16"/>
              </w:rPr>
              <w:t>.</w:t>
            </w:r>
          </w:p>
        </w:tc>
      </w:tr>
      <w:tr w:rsidR="00E3537F" w:rsidRPr="00172262" w14:paraId="65B53F5A" w14:textId="77777777" w:rsidTr="004F305C">
        <w:trPr>
          <w:trHeight w:val="240"/>
          <w:jc w:val="center"/>
        </w:trPr>
        <w:tc>
          <w:tcPr>
            <w:tcW w:w="2013" w:type="dxa"/>
            <w:noWrap/>
          </w:tcPr>
          <w:p w14:paraId="3018868C" w14:textId="124DE012" w:rsidR="00E3537F" w:rsidRPr="00BD048A" w:rsidRDefault="00E3537F" w:rsidP="00E3537F">
            <w:pPr>
              <w:pStyle w:val="TAC"/>
              <w:spacing w:before="20" w:after="20"/>
              <w:ind w:left="57" w:right="57"/>
              <w:jc w:val="left"/>
              <w:rPr>
                <w:sz w:val="16"/>
                <w:lang w:eastAsia="zh-CN"/>
              </w:rPr>
            </w:pPr>
            <w:r>
              <w:rPr>
                <w:sz w:val="16"/>
              </w:rPr>
              <w:t>Ericsson</w:t>
            </w:r>
          </w:p>
        </w:tc>
        <w:tc>
          <w:tcPr>
            <w:tcW w:w="1784" w:type="dxa"/>
          </w:tcPr>
          <w:p w14:paraId="37EE649E" w14:textId="5099D154" w:rsidR="00E3537F" w:rsidRPr="00172262" w:rsidRDefault="00E3537F" w:rsidP="00E3537F">
            <w:pPr>
              <w:pStyle w:val="TAC"/>
              <w:spacing w:before="20" w:after="20"/>
              <w:ind w:left="57" w:right="57"/>
              <w:jc w:val="left"/>
              <w:rPr>
                <w:sz w:val="16"/>
                <w:lang w:eastAsia="ja-JP"/>
              </w:rPr>
            </w:pPr>
            <w:r>
              <w:rPr>
                <w:sz w:val="16"/>
                <w:lang w:eastAsia="ja-JP"/>
              </w:rPr>
              <w:t>No</w:t>
            </w:r>
          </w:p>
        </w:tc>
        <w:tc>
          <w:tcPr>
            <w:tcW w:w="5779" w:type="dxa"/>
            <w:noWrap/>
          </w:tcPr>
          <w:p w14:paraId="4F96C29F" w14:textId="38006599" w:rsidR="00E3537F" w:rsidRPr="00172262" w:rsidRDefault="00E3537F" w:rsidP="00E3537F">
            <w:pPr>
              <w:pStyle w:val="TAC"/>
              <w:spacing w:before="20" w:after="20"/>
              <w:ind w:left="57" w:right="57"/>
              <w:jc w:val="left"/>
              <w:rPr>
                <w:sz w:val="16"/>
              </w:rPr>
            </w:pPr>
            <w:r>
              <w:rPr>
                <w:sz w:val="16"/>
              </w:rPr>
              <w:t>Our understanding is that PDCP duplication for SRBs when configured is always activated. Therefore, there is no need to signal the primary path.</w:t>
            </w:r>
          </w:p>
        </w:tc>
      </w:tr>
      <w:tr w:rsidR="00E3537F" w:rsidRPr="00172262" w14:paraId="71990922" w14:textId="77777777" w:rsidTr="004F305C">
        <w:trPr>
          <w:trHeight w:val="240"/>
          <w:jc w:val="center"/>
        </w:trPr>
        <w:tc>
          <w:tcPr>
            <w:tcW w:w="2013" w:type="dxa"/>
            <w:tcBorders>
              <w:top w:val="single" w:sz="4" w:space="0" w:color="auto"/>
              <w:left w:val="single" w:sz="4" w:space="0" w:color="auto"/>
              <w:bottom w:val="single" w:sz="4" w:space="0" w:color="auto"/>
              <w:right w:val="single" w:sz="4" w:space="0" w:color="auto"/>
            </w:tcBorders>
            <w:noWrap/>
          </w:tcPr>
          <w:p w14:paraId="754C479E" w14:textId="02466F82" w:rsidR="00E3537F" w:rsidRPr="00172262" w:rsidRDefault="00E3537F" w:rsidP="00E3537F">
            <w:pPr>
              <w:pStyle w:val="TAC"/>
              <w:spacing w:before="20" w:after="20"/>
              <w:ind w:left="57" w:right="57"/>
              <w:jc w:val="left"/>
              <w:rPr>
                <w:rFonts w:eastAsia="PMingLiU"/>
                <w:sz w:val="16"/>
                <w:lang w:eastAsia="zh-TW"/>
              </w:rPr>
            </w:pPr>
            <w:r>
              <w:rPr>
                <w:sz w:val="16"/>
                <w:lang w:val="en-US" w:eastAsia="zh-CN"/>
              </w:rPr>
              <w:t>Intel</w:t>
            </w:r>
          </w:p>
        </w:tc>
        <w:tc>
          <w:tcPr>
            <w:tcW w:w="1784" w:type="dxa"/>
            <w:tcBorders>
              <w:top w:val="single" w:sz="4" w:space="0" w:color="auto"/>
              <w:left w:val="single" w:sz="4" w:space="0" w:color="auto"/>
              <w:bottom w:val="single" w:sz="4" w:space="0" w:color="auto"/>
              <w:right w:val="single" w:sz="4" w:space="0" w:color="auto"/>
            </w:tcBorders>
          </w:tcPr>
          <w:p w14:paraId="0A647622" w14:textId="6330884B" w:rsidR="00E3537F" w:rsidRPr="00172262" w:rsidRDefault="00E3537F" w:rsidP="00E3537F">
            <w:pPr>
              <w:pStyle w:val="TAC"/>
              <w:spacing w:before="20" w:after="20"/>
              <w:ind w:left="57" w:right="57"/>
              <w:jc w:val="left"/>
              <w:rPr>
                <w:rFonts w:eastAsia="PMingLiU"/>
                <w:sz w:val="16"/>
                <w:lang w:eastAsia="zh-TW"/>
              </w:rPr>
            </w:pPr>
            <w:r>
              <w:rPr>
                <w:rFonts w:hint="eastAsia"/>
                <w:sz w:val="16"/>
                <w:lang w:eastAsia="ja-JP"/>
              </w:rPr>
              <w:t>No</w:t>
            </w:r>
          </w:p>
        </w:tc>
        <w:tc>
          <w:tcPr>
            <w:tcW w:w="5779" w:type="dxa"/>
            <w:tcBorders>
              <w:top w:val="single" w:sz="4" w:space="0" w:color="auto"/>
              <w:left w:val="single" w:sz="4" w:space="0" w:color="auto"/>
              <w:bottom w:val="single" w:sz="4" w:space="0" w:color="auto"/>
              <w:right w:val="single" w:sz="4" w:space="0" w:color="auto"/>
            </w:tcBorders>
            <w:noWrap/>
          </w:tcPr>
          <w:p w14:paraId="4B14A209" w14:textId="57E99CAF" w:rsidR="00E3537F" w:rsidRPr="00172262" w:rsidRDefault="00E3537F" w:rsidP="00E3537F">
            <w:pPr>
              <w:pStyle w:val="TAC"/>
              <w:spacing w:before="20" w:after="20"/>
              <w:ind w:left="57" w:right="57"/>
              <w:jc w:val="left"/>
              <w:rPr>
                <w:rFonts w:eastAsia="PMingLiU"/>
                <w:sz w:val="16"/>
                <w:lang w:eastAsia="zh-TW"/>
              </w:rPr>
            </w:pPr>
            <w:r>
              <w:rPr>
                <w:sz w:val="16"/>
              </w:rPr>
              <w:t xml:space="preserve">Our understanding is also that once PDCP duplication is configured for SRB, it is always activated. </w:t>
            </w:r>
            <w:proofErr w:type="gramStart"/>
            <w:r>
              <w:rPr>
                <w:sz w:val="16"/>
              </w:rPr>
              <w:t>Therefore</w:t>
            </w:r>
            <w:proofErr w:type="gramEnd"/>
            <w:r>
              <w:rPr>
                <w:sz w:val="16"/>
              </w:rPr>
              <w:t xml:space="preserve"> primary leg concept is not that useful for SRB although it is still configured in RRC.</w:t>
            </w:r>
          </w:p>
        </w:tc>
      </w:tr>
    </w:tbl>
    <w:p w14:paraId="338C5F2D" w14:textId="77777777" w:rsidR="00BE2450" w:rsidRDefault="00BE2450" w:rsidP="00247E1D"/>
    <w:p w14:paraId="50EA4058" w14:textId="606F430C" w:rsidR="00D70F0D" w:rsidRDefault="00D70F0D" w:rsidP="00247E1D">
      <w:r w:rsidRPr="00953DD5">
        <w:t>For DRBs, RAN2 already agreed that “</w:t>
      </w:r>
      <w:r w:rsidR="00B478CC" w:rsidRPr="00953DD5">
        <w:rPr>
          <w:i/>
        </w:rPr>
        <w:t>For a logical channel restricted to one or multiple SCell(s) (i.e. logical channel configured for duplication) UE reports the failure to the gNB (e.g. SCell-RLF) but no RRC re-establishment happens</w:t>
      </w:r>
      <w:r w:rsidRPr="00953DD5">
        <w:t>”</w:t>
      </w:r>
      <w:r w:rsidR="0028075B" w:rsidRPr="00953DD5">
        <w:t xml:space="preserve"> [</w:t>
      </w:r>
      <w:hyperlink r:id="rId15" w:history="1">
        <w:r w:rsidR="0028075B" w:rsidRPr="00953DD5">
          <w:rPr>
            <w:rStyle w:val="Hyperlink"/>
          </w:rPr>
          <w:t>R2-170001</w:t>
        </w:r>
      </w:hyperlink>
      <w:r w:rsidR="0028075B" w:rsidRPr="00953DD5">
        <w:t>]</w:t>
      </w:r>
      <w:r w:rsidR="007634B2" w:rsidRPr="00953DD5">
        <w:t xml:space="preserve">. </w:t>
      </w:r>
      <w:r w:rsidR="00A043A1" w:rsidRPr="00953DD5">
        <w:t xml:space="preserve">RAN2 also </w:t>
      </w:r>
      <w:r w:rsidR="005E138D" w:rsidRPr="00953DD5">
        <w:t xml:space="preserve">just </w:t>
      </w:r>
      <w:r w:rsidR="00A043A1" w:rsidRPr="00953DD5">
        <w:t xml:space="preserve">agreed that </w:t>
      </w:r>
      <w:r w:rsidR="00C1000F" w:rsidRPr="00953DD5">
        <w:t>“</w:t>
      </w:r>
      <w:r w:rsidR="00C1000F" w:rsidRPr="00953DD5">
        <w:rPr>
          <w:i/>
        </w:rPr>
        <w:t>in CA duplication, when the RLC entity restricted to only SCell(s) reaches the maximum number of retransmissions for a PDCP PDU, the UE informs the gNB but does not trigger RLF</w:t>
      </w:r>
      <w:r w:rsidR="00C1000F" w:rsidRPr="00953DD5">
        <w:t>” [</w:t>
      </w:r>
      <w:hyperlink r:id="rId16" w:history="1">
        <w:r w:rsidR="00C1000F" w:rsidRPr="00953DD5">
          <w:rPr>
            <w:rStyle w:val="Hyperlink"/>
          </w:rPr>
          <w:t>R2-1</w:t>
        </w:r>
        <w:r w:rsidR="00EE4654" w:rsidRPr="00953DD5">
          <w:rPr>
            <w:rStyle w:val="Hyperlink"/>
          </w:rPr>
          <w:t>902681</w:t>
        </w:r>
      </w:hyperlink>
      <w:r w:rsidR="00C1000F" w:rsidRPr="00953DD5">
        <w:t>].</w:t>
      </w:r>
      <w:r w:rsidR="00EE4654" w:rsidRPr="00953DD5">
        <w:t xml:space="preserve"> </w:t>
      </w:r>
      <w:r w:rsidR="005E138D" w:rsidRPr="00953DD5">
        <w:t>If one is to stick to the agreed</w:t>
      </w:r>
      <w:r w:rsidR="00761AE5" w:rsidRPr="00953DD5">
        <w:t xml:space="preserve"> wording</w:t>
      </w:r>
      <w:r w:rsidR="005D7C0D" w:rsidRPr="00953DD5">
        <w:t xml:space="preserve">, </w:t>
      </w:r>
      <w:r w:rsidR="000201F3" w:rsidRPr="00953DD5">
        <w:t xml:space="preserve">there can only be one </w:t>
      </w:r>
      <w:r w:rsidR="00761AE5" w:rsidRPr="00953DD5">
        <w:t>RLC</w:t>
      </w:r>
      <w:r w:rsidR="000201F3" w:rsidRPr="00953DD5">
        <w:t xml:space="preserve"> entity restrict</w:t>
      </w:r>
      <w:r w:rsidR="006A09EF" w:rsidRPr="00953DD5">
        <w:t>ed</w:t>
      </w:r>
      <w:r w:rsidR="000201F3" w:rsidRPr="00953DD5">
        <w:t xml:space="preserve"> to SCells, the</w:t>
      </w:r>
      <w:r w:rsidR="00761AE5" w:rsidRPr="00953DD5">
        <w:t xml:space="preserve"> entity </w:t>
      </w:r>
      <w:r w:rsidR="009939FD" w:rsidRPr="00953DD5">
        <w:t xml:space="preserve">handling </w:t>
      </w:r>
      <w:r w:rsidR="00761AE5" w:rsidRPr="00953DD5">
        <w:t>the logical channel configured for duplication</w:t>
      </w:r>
      <w:r w:rsidR="009939FD" w:rsidRPr="00953DD5">
        <w:t xml:space="preserve"> i.e. the secondary RLC entity</w:t>
      </w:r>
      <w:r w:rsidR="00761AE5" w:rsidRPr="00953DD5">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13"/>
        <w:gridCol w:w="1784"/>
        <w:gridCol w:w="5779"/>
      </w:tblGrid>
      <w:tr w:rsidR="00962640" w:rsidRPr="00172262" w14:paraId="4133CE29" w14:textId="77777777" w:rsidTr="004F305C">
        <w:trPr>
          <w:trHeight w:val="240"/>
          <w:jc w:val="center"/>
        </w:trPr>
        <w:tc>
          <w:tcPr>
            <w:tcW w:w="9576" w:type="dxa"/>
            <w:gridSpan w:val="3"/>
            <w:tcBorders>
              <w:top w:val="single" w:sz="4" w:space="0" w:color="auto"/>
              <w:left w:val="single" w:sz="4" w:space="0" w:color="auto"/>
              <w:bottom w:val="single" w:sz="4" w:space="0" w:color="auto"/>
              <w:right w:val="single" w:sz="4" w:space="0" w:color="auto"/>
            </w:tcBorders>
            <w:shd w:val="clear" w:color="auto" w:fill="7F7F7F"/>
            <w:noWrap/>
          </w:tcPr>
          <w:p w14:paraId="15463389" w14:textId="45EC4171" w:rsidR="00962640" w:rsidRPr="00172262" w:rsidRDefault="00962640" w:rsidP="004F305C">
            <w:pPr>
              <w:pStyle w:val="TAH"/>
              <w:spacing w:before="20" w:after="20"/>
              <w:ind w:left="57" w:right="57"/>
              <w:jc w:val="left"/>
              <w:rPr>
                <w:color w:val="FFFFFF"/>
                <w:sz w:val="16"/>
              </w:rPr>
            </w:pPr>
            <w:r>
              <w:rPr>
                <w:color w:val="FFFFFF"/>
                <w:sz w:val="16"/>
              </w:rPr>
              <w:lastRenderedPageBreak/>
              <w:t xml:space="preserve">Question </w:t>
            </w:r>
            <w:r w:rsidR="00761AE5">
              <w:rPr>
                <w:color w:val="FFFFFF"/>
                <w:sz w:val="16"/>
              </w:rPr>
              <w:t>2</w:t>
            </w:r>
            <w:r w:rsidRPr="00172262">
              <w:rPr>
                <w:color w:val="FFFFFF"/>
                <w:sz w:val="16"/>
              </w:rPr>
              <w:t>:</w:t>
            </w:r>
            <w:r>
              <w:rPr>
                <w:color w:val="FFFFFF"/>
                <w:sz w:val="16"/>
              </w:rPr>
              <w:t xml:space="preserve"> </w:t>
            </w:r>
            <w:r w:rsidR="00F034AC">
              <w:rPr>
                <w:color w:val="FFFFFF"/>
                <w:sz w:val="16"/>
              </w:rPr>
              <w:t>For a duplicated DRB, should the SpCell always be configured for the primary path?</w:t>
            </w:r>
          </w:p>
        </w:tc>
      </w:tr>
      <w:tr w:rsidR="00962640" w:rsidRPr="00172262" w14:paraId="108A0EED" w14:textId="77777777" w:rsidTr="004F305C">
        <w:trPr>
          <w:trHeight w:val="240"/>
          <w:jc w:val="center"/>
        </w:trPr>
        <w:tc>
          <w:tcPr>
            <w:tcW w:w="2013" w:type="dxa"/>
            <w:tcBorders>
              <w:top w:val="single" w:sz="4" w:space="0" w:color="auto"/>
              <w:left w:val="single" w:sz="4" w:space="0" w:color="auto"/>
              <w:bottom w:val="single" w:sz="4" w:space="0" w:color="auto"/>
              <w:right w:val="single" w:sz="4" w:space="0" w:color="auto"/>
            </w:tcBorders>
            <w:noWrap/>
          </w:tcPr>
          <w:p w14:paraId="7B78DEFF" w14:textId="77777777" w:rsidR="00962640" w:rsidRPr="00172262" w:rsidRDefault="00962640" w:rsidP="004F305C">
            <w:pPr>
              <w:pStyle w:val="TAH"/>
              <w:spacing w:before="20" w:after="20"/>
              <w:ind w:left="57" w:right="57"/>
              <w:jc w:val="left"/>
              <w:rPr>
                <w:sz w:val="16"/>
              </w:rPr>
            </w:pPr>
            <w:r w:rsidRPr="00172262">
              <w:rPr>
                <w:sz w:val="16"/>
              </w:rPr>
              <w:t>Company</w:t>
            </w:r>
          </w:p>
        </w:tc>
        <w:tc>
          <w:tcPr>
            <w:tcW w:w="1784" w:type="dxa"/>
            <w:tcBorders>
              <w:top w:val="single" w:sz="4" w:space="0" w:color="auto"/>
              <w:left w:val="single" w:sz="4" w:space="0" w:color="auto"/>
              <w:bottom w:val="single" w:sz="4" w:space="0" w:color="auto"/>
              <w:right w:val="single" w:sz="4" w:space="0" w:color="auto"/>
            </w:tcBorders>
          </w:tcPr>
          <w:p w14:paraId="670FD040" w14:textId="77777777" w:rsidR="00962640" w:rsidRPr="00172262" w:rsidRDefault="00962640" w:rsidP="004F305C">
            <w:pPr>
              <w:pStyle w:val="TAH"/>
              <w:spacing w:before="20" w:after="20"/>
              <w:ind w:left="57" w:right="57"/>
              <w:jc w:val="left"/>
              <w:rPr>
                <w:sz w:val="16"/>
              </w:rPr>
            </w:pPr>
            <w:r w:rsidRPr="00172262">
              <w:rPr>
                <w:sz w:val="16"/>
              </w:rPr>
              <w:t>Yes/No</w:t>
            </w:r>
          </w:p>
        </w:tc>
        <w:tc>
          <w:tcPr>
            <w:tcW w:w="5779" w:type="dxa"/>
            <w:tcBorders>
              <w:top w:val="single" w:sz="4" w:space="0" w:color="auto"/>
              <w:left w:val="single" w:sz="4" w:space="0" w:color="auto"/>
              <w:bottom w:val="single" w:sz="4" w:space="0" w:color="auto"/>
              <w:right w:val="single" w:sz="4" w:space="0" w:color="auto"/>
            </w:tcBorders>
            <w:noWrap/>
          </w:tcPr>
          <w:p w14:paraId="64B50B94" w14:textId="77777777" w:rsidR="00962640" w:rsidRPr="00172262" w:rsidRDefault="00962640" w:rsidP="004F305C">
            <w:pPr>
              <w:pStyle w:val="TAH"/>
              <w:spacing w:before="20" w:after="20"/>
              <w:ind w:left="57" w:right="57"/>
              <w:jc w:val="left"/>
              <w:rPr>
                <w:sz w:val="16"/>
              </w:rPr>
            </w:pPr>
            <w:r>
              <w:rPr>
                <w:sz w:val="16"/>
              </w:rPr>
              <w:t>Comments</w:t>
            </w:r>
          </w:p>
        </w:tc>
      </w:tr>
      <w:tr w:rsidR="00962640" w:rsidRPr="00172262" w14:paraId="32497247" w14:textId="77777777" w:rsidTr="004F305C">
        <w:trPr>
          <w:trHeight w:val="240"/>
          <w:jc w:val="center"/>
        </w:trPr>
        <w:tc>
          <w:tcPr>
            <w:tcW w:w="2013" w:type="dxa"/>
            <w:tcBorders>
              <w:top w:val="single" w:sz="4" w:space="0" w:color="auto"/>
              <w:left w:val="single" w:sz="4" w:space="0" w:color="auto"/>
              <w:bottom w:val="single" w:sz="4" w:space="0" w:color="auto"/>
              <w:right w:val="single" w:sz="4" w:space="0" w:color="auto"/>
            </w:tcBorders>
            <w:noWrap/>
          </w:tcPr>
          <w:p w14:paraId="1B6B4BA1" w14:textId="5CA73E52" w:rsidR="00962640" w:rsidRPr="00172262" w:rsidRDefault="00761AE5" w:rsidP="004F305C">
            <w:pPr>
              <w:pStyle w:val="TAC"/>
              <w:spacing w:before="20" w:after="20"/>
              <w:ind w:left="57" w:right="57"/>
              <w:jc w:val="left"/>
              <w:rPr>
                <w:sz w:val="16"/>
              </w:rPr>
            </w:pPr>
            <w:r>
              <w:rPr>
                <w:sz w:val="16"/>
              </w:rPr>
              <w:t>Nokia</w:t>
            </w:r>
          </w:p>
        </w:tc>
        <w:tc>
          <w:tcPr>
            <w:tcW w:w="1784" w:type="dxa"/>
            <w:tcBorders>
              <w:top w:val="single" w:sz="4" w:space="0" w:color="auto"/>
              <w:left w:val="single" w:sz="4" w:space="0" w:color="auto"/>
              <w:bottom w:val="single" w:sz="4" w:space="0" w:color="auto"/>
              <w:right w:val="single" w:sz="4" w:space="0" w:color="auto"/>
            </w:tcBorders>
          </w:tcPr>
          <w:p w14:paraId="7E41156F" w14:textId="035A2BE3" w:rsidR="00962640" w:rsidRPr="00172262" w:rsidRDefault="00761AE5" w:rsidP="004F305C">
            <w:pPr>
              <w:pStyle w:val="TAC"/>
              <w:spacing w:before="20" w:after="20"/>
              <w:ind w:left="57" w:right="57"/>
              <w:jc w:val="left"/>
              <w:rPr>
                <w:sz w:val="16"/>
              </w:rPr>
            </w:pPr>
            <w:r>
              <w:rPr>
                <w:sz w:val="16"/>
              </w:rPr>
              <w:t>Yes</w:t>
            </w:r>
          </w:p>
        </w:tc>
        <w:tc>
          <w:tcPr>
            <w:tcW w:w="5779" w:type="dxa"/>
            <w:tcBorders>
              <w:top w:val="single" w:sz="4" w:space="0" w:color="auto"/>
              <w:left w:val="single" w:sz="4" w:space="0" w:color="auto"/>
              <w:bottom w:val="single" w:sz="4" w:space="0" w:color="auto"/>
              <w:right w:val="single" w:sz="4" w:space="0" w:color="auto"/>
            </w:tcBorders>
            <w:noWrap/>
          </w:tcPr>
          <w:p w14:paraId="21E03B23" w14:textId="1DF6B359" w:rsidR="00962640" w:rsidRPr="00172262" w:rsidRDefault="00C42523" w:rsidP="004F305C">
            <w:pPr>
              <w:pStyle w:val="TAC"/>
              <w:spacing w:before="20" w:after="20"/>
              <w:ind w:left="57" w:right="57"/>
              <w:jc w:val="left"/>
              <w:rPr>
                <w:sz w:val="16"/>
              </w:rPr>
            </w:pPr>
            <w:r>
              <w:rPr>
                <w:sz w:val="16"/>
              </w:rPr>
              <w:t>F</w:t>
            </w:r>
            <w:r w:rsidR="00A6679B" w:rsidRPr="00A6679B">
              <w:rPr>
                <w:sz w:val="16"/>
              </w:rPr>
              <w:t>ailure of RLC AM had always triggered RLF. The decision to not trigger RLF for the secondary leg was to avoid increasing the chances of RLF when duplication is configured. If a DRB is configured with duplication, it is because it needs to get through. The SpCell is always going to be the serving cell that is most reliable among the set of serving cells due to the very nature of CA. Therefore, a scenario where the primary leg of a DRB requiring duplication would not be mapped onto the SpCell makes little sense.</w:t>
            </w:r>
          </w:p>
        </w:tc>
      </w:tr>
      <w:tr w:rsidR="00C609A1" w:rsidRPr="00172262" w14:paraId="72372ED4" w14:textId="77777777" w:rsidTr="004F305C">
        <w:trPr>
          <w:trHeight w:val="240"/>
          <w:jc w:val="center"/>
        </w:trPr>
        <w:tc>
          <w:tcPr>
            <w:tcW w:w="2013" w:type="dxa"/>
            <w:tcBorders>
              <w:top w:val="single" w:sz="4" w:space="0" w:color="auto"/>
            </w:tcBorders>
            <w:noWrap/>
          </w:tcPr>
          <w:p w14:paraId="46B1C8FC" w14:textId="3A400541" w:rsidR="00C609A1" w:rsidRPr="00172262" w:rsidRDefault="00C609A1" w:rsidP="00C609A1">
            <w:pPr>
              <w:pStyle w:val="TAC"/>
              <w:spacing w:before="20" w:after="20"/>
              <w:ind w:left="57" w:right="57"/>
              <w:jc w:val="left"/>
              <w:rPr>
                <w:rFonts w:eastAsia="PMingLiU"/>
                <w:sz w:val="16"/>
                <w:lang w:eastAsia="zh-TW"/>
              </w:rPr>
            </w:pPr>
            <w:r>
              <w:rPr>
                <w:sz w:val="16"/>
              </w:rPr>
              <w:t>Nokia</w:t>
            </w:r>
          </w:p>
        </w:tc>
        <w:tc>
          <w:tcPr>
            <w:tcW w:w="1784" w:type="dxa"/>
            <w:tcBorders>
              <w:top w:val="single" w:sz="4" w:space="0" w:color="auto"/>
            </w:tcBorders>
          </w:tcPr>
          <w:p w14:paraId="2D78586B" w14:textId="51CABF02" w:rsidR="00C609A1" w:rsidRPr="00172262" w:rsidRDefault="00C609A1" w:rsidP="00C609A1">
            <w:pPr>
              <w:pStyle w:val="TAC"/>
              <w:spacing w:before="20" w:after="20"/>
              <w:ind w:left="57" w:right="57"/>
              <w:jc w:val="left"/>
              <w:rPr>
                <w:rFonts w:eastAsia="PMingLiU"/>
                <w:sz w:val="16"/>
                <w:lang w:eastAsia="zh-TW"/>
              </w:rPr>
            </w:pPr>
            <w:r>
              <w:rPr>
                <w:sz w:val="16"/>
              </w:rPr>
              <w:t>Yes</w:t>
            </w:r>
          </w:p>
        </w:tc>
        <w:tc>
          <w:tcPr>
            <w:tcW w:w="5779" w:type="dxa"/>
            <w:tcBorders>
              <w:top w:val="single" w:sz="4" w:space="0" w:color="auto"/>
            </w:tcBorders>
            <w:noWrap/>
          </w:tcPr>
          <w:p w14:paraId="7CE4D7C9" w14:textId="6A0E9327" w:rsidR="00C609A1" w:rsidRPr="00172262" w:rsidRDefault="00C609A1" w:rsidP="00C609A1">
            <w:pPr>
              <w:pStyle w:val="TAC"/>
              <w:spacing w:before="20" w:after="20"/>
              <w:ind w:left="57" w:right="57"/>
              <w:jc w:val="left"/>
              <w:rPr>
                <w:rFonts w:eastAsia="PMingLiU"/>
                <w:sz w:val="16"/>
                <w:lang w:eastAsia="zh-TW"/>
              </w:rPr>
            </w:pPr>
            <w:r>
              <w:rPr>
                <w:sz w:val="16"/>
              </w:rPr>
              <w:t>F</w:t>
            </w:r>
            <w:r w:rsidRPr="00A6679B">
              <w:rPr>
                <w:sz w:val="16"/>
              </w:rPr>
              <w:t>ailure of RLC AM had always triggered RLF. The decision to not trigger RLF for the secondary leg was to avoid increasing the chances of RLF when duplication is configured. If a DRB is configured with duplication, it is because it needs to get through. The SpCell is always going to be the serving cell that is most reliable among the set of serving cells due to the very nature of CA. Therefore, a scenario where the primary leg of a DRB requiring duplication would not be mapped onto the SpCell makes little sense.</w:t>
            </w:r>
          </w:p>
        </w:tc>
      </w:tr>
      <w:tr w:rsidR="00C609A1" w:rsidRPr="00172262" w14:paraId="558AA03D" w14:textId="77777777" w:rsidTr="004F305C">
        <w:trPr>
          <w:trHeight w:val="240"/>
          <w:jc w:val="center"/>
        </w:trPr>
        <w:tc>
          <w:tcPr>
            <w:tcW w:w="2013" w:type="dxa"/>
            <w:noWrap/>
          </w:tcPr>
          <w:p w14:paraId="4A0C821C" w14:textId="4C3040CB" w:rsidR="00C609A1" w:rsidRPr="00172262" w:rsidRDefault="00C609A1" w:rsidP="00C609A1">
            <w:pPr>
              <w:pStyle w:val="TAC"/>
              <w:spacing w:before="20" w:after="20"/>
              <w:ind w:left="57" w:right="57"/>
              <w:jc w:val="left"/>
              <w:rPr>
                <w:sz w:val="16"/>
              </w:rPr>
            </w:pPr>
            <w:r>
              <w:rPr>
                <w:rFonts w:eastAsia="Malgun Gothic" w:hint="eastAsia"/>
                <w:sz w:val="16"/>
                <w:lang w:eastAsia="ko-KR"/>
              </w:rPr>
              <w:t>Samsung</w:t>
            </w:r>
          </w:p>
        </w:tc>
        <w:tc>
          <w:tcPr>
            <w:tcW w:w="1784" w:type="dxa"/>
          </w:tcPr>
          <w:p w14:paraId="5CE85931" w14:textId="72328EB9" w:rsidR="00C609A1" w:rsidRPr="00172262" w:rsidRDefault="00C609A1" w:rsidP="00C609A1">
            <w:pPr>
              <w:pStyle w:val="TAC"/>
              <w:spacing w:before="20" w:after="20"/>
              <w:ind w:left="57" w:right="57"/>
              <w:jc w:val="left"/>
              <w:rPr>
                <w:sz w:val="16"/>
                <w:lang w:eastAsia="ja-JP"/>
              </w:rPr>
            </w:pPr>
            <w:r>
              <w:rPr>
                <w:rFonts w:eastAsia="Malgun Gothic" w:hint="eastAsia"/>
                <w:sz w:val="16"/>
                <w:lang w:eastAsia="ko-KR"/>
              </w:rPr>
              <w:t>No</w:t>
            </w:r>
          </w:p>
        </w:tc>
        <w:tc>
          <w:tcPr>
            <w:tcW w:w="5779" w:type="dxa"/>
            <w:noWrap/>
          </w:tcPr>
          <w:p w14:paraId="189A4D64" w14:textId="77777777" w:rsidR="00C609A1" w:rsidRPr="00E05126" w:rsidRDefault="00C609A1" w:rsidP="00C609A1">
            <w:pPr>
              <w:pStyle w:val="TAC"/>
              <w:spacing w:before="20" w:after="20"/>
              <w:ind w:left="57" w:right="57"/>
              <w:jc w:val="left"/>
              <w:rPr>
                <w:rFonts w:eastAsia="Malgun Gothic"/>
                <w:sz w:val="16"/>
                <w:szCs w:val="16"/>
                <w:lang w:eastAsia="ko-KR"/>
              </w:rPr>
            </w:pPr>
            <w:r w:rsidRPr="00695C15">
              <w:rPr>
                <w:rFonts w:eastAsia="Malgun Gothic" w:hint="eastAsia"/>
                <w:sz w:val="16"/>
                <w:szCs w:val="16"/>
                <w:lang w:eastAsia="ko-KR"/>
              </w:rPr>
              <w:t>Our understanding on this agreement is that there is no restriction that the SpCell is configured for the primary pat</w:t>
            </w:r>
            <w:r>
              <w:rPr>
                <w:rFonts w:eastAsia="Malgun Gothic" w:hint="eastAsia"/>
                <w:sz w:val="16"/>
                <w:szCs w:val="16"/>
                <w:lang w:eastAsia="ko-KR"/>
              </w:rPr>
              <w:t>h, due to the following reasons:</w:t>
            </w:r>
          </w:p>
          <w:p w14:paraId="7297A44E" w14:textId="77777777" w:rsidR="00C609A1" w:rsidRDefault="00C609A1" w:rsidP="00C609A1">
            <w:pPr>
              <w:pStyle w:val="TAC"/>
              <w:numPr>
                <w:ilvl w:val="0"/>
                <w:numId w:val="8"/>
              </w:numPr>
              <w:spacing w:before="20" w:after="20"/>
              <w:ind w:right="57"/>
              <w:jc w:val="left"/>
              <w:rPr>
                <w:rFonts w:eastAsia="Malgun Gothic"/>
                <w:sz w:val="16"/>
                <w:szCs w:val="16"/>
                <w:lang w:eastAsia="ko-KR"/>
              </w:rPr>
            </w:pPr>
            <w:r>
              <w:rPr>
                <w:rFonts w:eastAsia="Malgun Gothic" w:hint="eastAsia"/>
                <w:sz w:val="16"/>
                <w:szCs w:val="16"/>
                <w:lang w:eastAsia="ko-KR"/>
              </w:rPr>
              <w:t xml:space="preserve">There is no explicit agreement on this restriction. </w:t>
            </w:r>
          </w:p>
          <w:p w14:paraId="3E874045" w14:textId="77777777" w:rsidR="00C609A1" w:rsidRDefault="00C609A1" w:rsidP="00C609A1">
            <w:pPr>
              <w:pStyle w:val="TAC"/>
              <w:numPr>
                <w:ilvl w:val="0"/>
                <w:numId w:val="8"/>
              </w:numPr>
              <w:spacing w:before="20" w:after="20"/>
              <w:ind w:right="57"/>
              <w:jc w:val="left"/>
              <w:rPr>
                <w:rFonts w:eastAsia="Malgun Gothic"/>
                <w:sz w:val="16"/>
                <w:szCs w:val="16"/>
                <w:lang w:eastAsia="ko-KR"/>
              </w:rPr>
            </w:pPr>
            <w:r>
              <w:rPr>
                <w:rFonts w:eastAsia="Malgun Gothic" w:hint="eastAsia"/>
                <w:sz w:val="16"/>
                <w:szCs w:val="16"/>
                <w:lang w:eastAsia="ko-KR"/>
              </w:rPr>
              <w:t>ASN.1 already allows the case that no SpCell is configured for any leg.</w:t>
            </w:r>
          </w:p>
          <w:p w14:paraId="65B95B53" w14:textId="77777777" w:rsidR="00C609A1" w:rsidRDefault="00C609A1" w:rsidP="00C609A1">
            <w:pPr>
              <w:pStyle w:val="TAC"/>
              <w:numPr>
                <w:ilvl w:val="0"/>
                <w:numId w:val="8"/>
              </w:numPr>
              <w:spacing w:before="20" w:after="20"/>
              <w:ind w:right="57"/>
              <w:jc w:val="left"/>
              <w:rPr>
                <w:rFonts w:eastAsia="Malgun Gothic"/>
                <w:sz w:val="16"/>
                <w:szCs w:val="16"/>
                <w:lang w:eastAsia="ko-KR"/>
              </w:rPr>
            </w:pPr>
            <w:r>
              <w:rPr>
                <w:rFonts w:eastAsia="Malgun Gothic" w:hint="eastAsia"/>
                <w:sz w:val="16"/>
                <w:szCs w:val="16"/>
                <w:lang w:eastAsia="ko-KR"/>
              </w:rPr>
              <w:t xml:space="preserve">In RAN2 AH-1807, RAN2 agreed only SRB part: </w:t>
            </w:r>
            <w:r w:rsidRPr="00695C15">
              <w:rPr>
                <w:rFonts w:eastAsia="Malgun Gothic"/>
                <w:sz w:val="16"/>
                <w:szCs w:val="16"/>
                <w:lang w:eastAsia="ko-KR"/>
              </w:rPr>
              <w:t>“</w:t>
            </w:r>
            <w:r w:rsidRPr="00695C15">
              <w:rPr>
                <w:i/>
                <w:sz w:val="16"/>
                <w:szCs w:val="16"/>
              </w:rPr>
              <w:t>R2 assumes that for SRB with Cell restrictions, at least one leg should be configured on SpCell</w:t>
            </w:r>
            <w:r w:rsidRPr="00695C15">
              <w:rPr>
                <w:rFonts w:eastAsia="Malgun Gothic"/>
                <w:i/>
                <w:sz w:val="16"/>
                <w:szCs w:val="16"/>
                <w:lang w:eastAsia="ko-KR"/>
              </w:rPr>
              <w:t>”</w:t>
            </w:r>
            <w:r>
              <w:rPr>
                <w:rFonts w:eastAsia="Malgun Gothic" w:hint="eastAsia"/>
                <w:i/>
                <w:sz w:val="16"/>
                <w:szCs w:val="16"/>
                <w:lang w:eastAsia="ko-KR"/>
              </w:rPr>
              <w:t>,</w:t>
            </w:r>
            <w:r w:rsidRPr="00695C15">
              <w:rPr>
                <w:rFonts w:eastAsia="Malgun Gothic" w:hint="eastAsia"/>
                <w:i/>
                <w:sz w:val="16"/>
                <w:szCs w:val="16"/>
                <w:lang w:eastAsia="ko-KR"/>
              </w:rPr>
              <w:t xml:space="preserve"> </w:t>
            </w:r>
            <w:r>
              <w:rPr>
                <w:rFonts w:eastAsia="Malgun Gothic" w:hint="eastAsia"/>
                <w:sz w:val="16"/>
                <w:szCs w:val="16"/>
                <w:lang w:eastAsia="ko-KR"/>
              </w:rPr>
              <w:t xml:space="preserve">because DRB does not need such restriction. For SRB, if RLC max retransmission occurs and the problematic logical channel is restricted only for SCell, the uplink </w:t>
            </w:r>
            <w:r>
              <w:rPr>
                <w:rFonts w:eastAsia="Malgun Gothic"/>
                <w:sz w:val="16"/>
                <w:szCs w:val="16"/>
                <w:lang w:eastAsia="ko-KR"/>
              </w:rPr>
              <w:t>signalling</w:t>
            </w:r>
            <w:r>
              <w:rPr>
                <w:rFonts w:eastAsia="Malgun Gothic" w:hint="eastAsia"/>
                <w:sz w:val="16"/>
                <w:szCs w:val="16"/>
                <w:lang w:eastAsia="ko-KR"/>
              </w:rPr>
              <w:t xml:space="preserve"> (e.g. </w:t>
            </w:r>
            <w:proofErr w:type="spellStart"/>
            <w:r>
              <w:rPr>
                <w:rFonts w:eastAsia="Malgun Gothic" w:hint="eastAsia"/>
                <w:sz w:val="16"/>
                <w:szCs w:val="16"/>
                <w:lang w:eastAsia="ko-KR"/>
              </w:rPr>
              <w:t>FailureInformation</w:t>
            </w:r>
            <w:proofErr w:type="spellEnd"/>
            <w:r>
              <w:rPr>
                <w:rFonts w:eastAsia="Malgun Gothic" w:hint="eastAsia"/>
                <w:sz w:val="16"/>
                <w:szCs w:val="16"/>
                <w:lang w:eastAsia="ko-KR"/>
              </w:rPr>
              <w:t>) cannot be sent via the broken cell. For DRB, the above statement is not valid.</w:t>
            </w:r>
          </w:p>
          <w:p w14:paraId="12F16B34" w14:textId="77777777" w:rsidR="00C609A1" w:rsidRPr="0026425B" w:rsidRDefault="00C609A1" w:rsidP="00C609A1">
            <w:pPr>
              <w:pStyle w:val="TAC"/>
              <w:numPr>
                <w:ilvl w:val="0"/>
                <w:numId w:val="8"/>
              </w:numPr>
              <w:spacing w:before="20" w:after="20"/>
              <w:ind w:right="57"/>
              <w:jc w:val="left"/>
              <w:rPr>
                <w:rFonts w:eastAsia="Malgun Gothic"/>
                <w:sz w:val="16"/>
                <w:szCs w:val="16"/>
                <w:lang w:eastAsia="ko-KR"/>
              </w:rPr>
            </w:pPr>
            <w:proofErr w:type="spellStart"/>
            <w:r w:rsidRPr="0026425B">
              <w:rPr>
                <w:rFonts w:eastAsia="Malgun Gothic" w:hint="eastAsia"/>
                <w:sz w:val="16"/>
                <w:szCs w:val="16"/>
                <w:lang w:eastAsia="ko-KR"/>
              </w:rPr>
              <w:t>FailureInformation</w:t>
            </w:r>
            <w:proofErr w:type="spellEnd"/>
            <w:r w:rsidRPr="0026425B">
              <w:rPr>
                <w:rFonts w:eastAsia="Malgun Gothic" w:hint="eastAsia"/>
                <w:sz w:val="16"/>
                <w:szCs w:val="16"/>
                <w:lang w:eastAsia="ko-KR"/>
              </w:rPr>
              <w:t xml:space="preserve"> message includes LCID</w:t>
            </w:r>
            <w:r>
              <w:rPr>
                <w:rFonts w:eastAsia="Malgun Gothic" w:hint="eastAsia"/>
                <w:sz w:val="16"/>
                <w:szCs w:val="16"/>
                <w:lang w:eastAsia="ko-KR"/>
              </w:rPr>
              <w:t xml:space="preserve"> and cell group ID</w:t>
            </w:r>
            <w:r w:rsidRPr="0026425B">
              <w:rPr>
                <w:rFonts w:eastAsia="Malgun Gothic" w:hint="eastAsia"/>
                <w:sz w:val="16"/>
                <w:szCs w:val="16"/>
                <w:lang w:eastAsia="ko-KR"/>
              </w:rPr>
              <w:t xml:space="preserve">. If we agreed to use it only for the secondary leg, </w:t>
            </w:r>
            <w:r>
              <w:rPr>
                <w:rFonts w:eastAsia="Malgun Gothic" w:hint="eastAsia"/>
                <w:sz w:val="16"/>
                <w:szCs w:val="16"/>
                <w:lang w:eastAsia="ko-KR"/>
              </w:rPr>
              <w:t>all those two IDs</w:t>
            </w:r>
            <w:r w:rsidRPr="0026425B">
              <w:rPr>
                <w:rFonts w:eastAsia="Malgun Gothic" w:hint="eastAsia"/>
                <w:sz w:val="16"/>
                <w:szCs w:val="16"/>
                <w:lang w:eastAsia="ko-KR"/>
              </w:rPr>
              <w:t xml:space="preserve"> </w:t>
            </w:r>
            <w:r>
              <w:rPr>
                <w:rFonts w:eastAsia="Malgun Gothic" w:hint="eastAsia"/>
                <w:sz w:val="16"/>
                <w:szCs w:val="16"/>
                <w:lang w:eastAsia="ko-KR"/>
              </w:rPr>
              <w:t>do</w:t>
            </w:r>
            <w:r w:rsidRPr="0026425B">
              <w:rPr>
                <w:rFonts w:eastAsia="Malgun Gothic" w:hint="eastAsia"/>
                <w:sz w:val="16"/>
                <w:szCs w:val="16"/>
                <w:lang w:eastAsia="ko-KR"/>
              </w:rPr>
              <w:t xml:space="preserve"> not need to be reported.</w:t>
            </w:r>
          </w:p>
          <w:p w14:paraId="58B291A7" w14:textId="52AA5A85" w:rsidR="00C609A1" w:rsidRPr="00172262" w:rsidRDefault="00C609A1" w:rsidP="00C609A1">
            <w:pPr>
              <w:pStyle w:val="TAC"/>
              <w:spacing w:before="20" w:after="20"/>
              <w:ind w:left="57" w:right="57"/>
              <w:jc w:val="left"/>
              <w:rPr>
                <w:sz w:val="16"/>
              </w:rPr>
            </w:pPr>
            <w:r w:rsidRPr="00695C15">
              <w:rPr>
                <w:rFonts w:eastAsia="Malgun Gothic" w:hint="eastAsia"/>
                <w:sz w:val="16"/>
                <w:szCs w:val="16"/>
                <w:lang w:eastAsia="ko-KR"/>
              </w:rPr>
              <w:t xml:space="preserve">One use case is that two SCells are used dedicated by URLLC service. In this case, the CA duplication bearer </w:t>
            </w:r>
            <w:r>
              <w:rPr>
                <w:rFonts w:eastAsia="Malgun Gothic" w:hint="eastAsia"/>
                <w:sz w:val="16"/>
                <w:szCs w:val="16"/>
                <w:lang w:eastAsia="ko-KR"/>
              </w:rPr>
              <w:t>is mapped on only</w:t>
            </w:r>
            <w:r w:rsidRPr="00695C15">
              <w:rPr>
                <w:rFonts w:eastAsia="Malgun Gothic" w:hint="eastAsia"/>
                <w:sz w:val="16"/>
                <w:szCs w:val="16"/>
                <w:lang w:eastAsia="ko-KR"/>
              </w:rPr>
              <w:t xml:space="preserve"> those two SCells.</w:t>
            </w:r>
            <w:r>
              <w:rPr>
                <w:rFonts w:eastAsia="Malgun Gothic" w:hint="eastAsia"/>
                <w:sz w:val="16"/>
                <w:szCs w:val="16"/>
                <w:lang w:eastAsia="ko-KR"/>
              </w:rPr>
              <w:t xml:space="preserve"> </w:t>
            </w:r>
            <w:r w:rsidRPr="00695C15">
              <w:rPr>
                <w:rFonts w:eastAsia="Malgun Gothic" w:hint="eastAsia"/>
                <w:sz w:val="16"/>
                <w:szCs w:val="16"/>
                <w:lang w:eastAsia="ko-KR"/>
              </w:rPr>
              <w:t xml:space="preserve">Even in non-duplication case, allowedServingCells </w:t>
            </w:r>
            <w:r>
              <w:rPr>
                <w:rFonts w:eastAsia="Malgun Gothic" w:hint="eastAsia"/>
                <w:sz w:val="16"/>
                <w:szCs w:val="16"/>
                <w:lang w:eastAsia="ko-KR"/>
              </w:rPr>
              <w:t xml:space="preserve">can </w:t>
            </w:r>
            <w:r w:rsidRPr="00695C15">
              <w:rPr>
                <w:rFonts w:eastAsia="Malgun Gothic" w:hint="eastAsia"/>
                <w:sz w:val="16"/>
                <w:szCs w:val="16"/>
                <w:lang w:eastAsia="ko-KR"/>
              </w:rPr>
              <w:t>include</w:t>
            </w:r>
            <w:r>
              <w:rPr>
                <w:rFonts w:eastAsia="Malgun Gothic" w:hint="eastAsia"/>
                <w:sz w:val="16"/>
                <w:szCs w:val="16"/>
                <w:lang w:eastAsia="ko-KR"/>
              </w:rPr>
              <w:t xml:space="preserve"> only </w:t>
            </w:r>
            <w:r w:rsidRPr="00695C15">
              <w:rPr>
                <w:rFonts w:eastAsia="Malgun Gothic" w:hint="eastAsia"/>
                <w:sz w:val="16"/>
                <w:szCs w:val="16"/>
                <w:lang w:eastAsia="ko-KR"/>
              </w:rPr>
              <w:t>SCell</w:t>
            </w:r>
            <w:r>
              <w:rPr>
                <w:rFonts w:eastAsia="Malgun Gothic" w:hint="eastAsia"/>
                <w:sz w:val="16"/>
                <w:szCs w:val="16"/>
                <w:lang w:eastAsia="ko-KR"/>
              </w:rPr>
              <w:t>(s)</w:t>
            </w:r>
            <w:r w:rsidRPr="00695C15">
              <w:rPr>
                <w:rFonts w:eastAsia="Malgun Gothic" w:hint="eastAsia"/>
                <w:sz w:val="16"/>
                <w:szCs w:val="16"/>
                <w:lang w:eastAsia="ko-KR"/>
              </w:rPr>
              <w:t>.</w:t>
            </w:r>
          </w:p>
        </w:tc>
      </w:tr>
      <w:tr w:rsidR="00C609A1" w:rsidRPr="00172262" w14:paraId="4FB37614" w14:textId="77777777" w:rsidTr="004F305C">
        <w:trPr>
          <w:trHeight w:val="240"/>
          <w:jc w:val="center"/>
        </w:trPr>
        <w:tc>
          <w:tcPr>
            <w:tcW w:w="2013" w:type="dxa"/>
            <w:tcBorders>
              <w:top w:val="single" w:sz="4" w:space="0" w:color="auto"/>
            </w:tcBorders>
            <w:noWrap/>
          </w:tcPr>
          <w:p w14:paraId="42322591" w14:textId="6C5F75BB" w:rsidR="00C609A1" w:rsidRPr="00172262" w:rsidRDefault="00C609A1" w:rsidP="00C609A1">
            <w:pPr>
              <w:pStyle w:val="TAC"/>
              <w:spacing w:before="20" w:after="20"/>
              <w:ind w:left="57" w:right="57"/>
              <w:jc w:val="left"/>
              <w:rPr>
                <w:sz w:val="16"/>
              </w:rPr>
            </w:pPr>
            <w:r>
              <w:rPr>
                <w:sz w:val="16"/>
              </w:rPr>
              <w:t>vivo</w:t>
            </w:r>
          </w:p>
        </w:tc>
        <w:tc>
          <w:tcPr>
            <w:tcW w:w="1784" w:type="dxa"/>
            <w:tcBorders>
              <w:top w:val="single" w:sz="4" w:space="0" w:color="auto"/>
            </w:tcBorders>
          </w:tcPr>
          <w:p w14:paraId="18D80A9D" w14:textId="253489D6" w:rsidR="00C609A1" w:rsidRPr="00172262" w:rsidRDefault="00C609A1" w:rsidP="00C609A1">
            <w:pPr>
              <w:pStyle w:val="TAC"/>
              <w:spacing w:before="20" w:after="20"/>
              <w:ind w:left="57" w:right="57"/>
              <w:jc w:val="left"/>
              <w:rPr>
                <w:sz w:val="16"/>
              </w:rPr>
            </w:pPr>
            <w:r>
              <w:rPr>
                <w:sz w:val="16"/>
                <w:lang w:eastAsia="ja-JP"/>
              </w:rPr>
              <w:t>No</w:t>
            </w:r>
          </w:p>
        </w:tc>
        <w:tc>
          <w:tcPr>
            <w:tcW w:w="5779" w:type="dxa"/>
            <w:tcBorders>
              <w:top w:val="single" w:sz="4" w:space="0" w:color="auto"/>
            </w:tcBorders>
            <w:noWrap/>
          </w:tcPr>
          <w:p w14:paraId="331BE1D5" w14:textId="6B9896CE" w:rsidR="00C609A1" w:rsidRPr="00172262" w:rsidRDefault="00C609A1" w:rsidP="00C609A1">
            <w:pPr>
              <w:pStyle w:val="TAC"/>
              <w:spacing w:before="20" w:after="20"/>
              <w:ind w:left="57" w:right="57"/>
              <w:jc w:val="left"/>
              <w:rPr>
                <w:sz w:val="16"/>
              </w:rPr>
            </w:pPr>
            <w:r>
              <w:rPr>
                <w:sz w:val="16"/>
              </w:rPr>
              <w:t>If both legs of a DRB are configured with only SCells, the UE reports the RLC failure to the network via the SRB which is configured at least with the SpCell.</w:t>
            </w:r>
          </w:p>
        </w:tc>
      </w:tr>
      <w:tr w:rsidR="00C609A1" w:rsidRPr="00172262" w14:paraId="5C7DDCA3" w14:textId="77777777" w:rsidTr="004F305C">
        <w:trPr>
          <w:trHeight w:val="240"/>
          <w:jc w:val="center"/>
        </w:trPr>
        <w:tc>
          <w:tcPr>
            <w:tcW w:w="2013" w:type="dxa"/>
            <w:tcBorders>
              <w:top w:val="single" w:sz="4" w:space="0" w:color="auto"/>
            </w:tcBorders>
            <w:noWrap/>
          </w:tcPr>
          <w:p w14:paraId="32C5C4F8" w14:textId="57DE424A" w:rsidR="00C609A1" w:rsidRPr="00813E0C" w:rsidRDefault="00C609A1" w:rsidP="00C609A1">
            <w:pPr>
              <w:pStyle w:val="TAC"/>
              <w:spacing w:before="20" w:after="20"/>
              <w:ind w:left="57" w:right="57"/>
              <w:jc w:val="left"/>
              <w:rPr>
                <w:rFonts w:eastAsia="SimSun"/>
                <w:sz w:val="16"/>
                <w:lang w:eastAsia="zh-CN"/>
              </w:rPr>
            </w:pPr>
            <w:r>
              <w:rPr>
                <w:sz w:val="16"/>
                <w:lang w:val="en-US"/>
              </w:rPr>
              <w:t>Qualcomm</w:t>
            </w:r>
          </w:p>
        </w:tc>
        <w:tc>
          <w:tcPr>
            <w:tcW w:w="1784" w:type="dxa"/>
            <w:tcBorders>
              <w:top w:val="single" w:sz="4" w:space="0" w:color="auto"/>
            </w:tcBorders>
          </w:tcPr>
          <w:p w14:paraId="6822208E" w14:textId="04A1E8A1" w:rsidR="00C609A1" w:rsidRPr="00813E0C" w:rsidRDefault="00C609A1" w:rsidP="00C609A1">
            <w:pPr>
              <w:pStyle w:val="TAC"/>
              <w:spacing w:before="20" w:after="20"/>
              <w:ind w:left="57" w:right="57"/>
              <w:jc w:val="left"/>
              <w:rPr>
                <w:rFonts w:eastAsia="SimSun"/>
                <w:sz w:val="16"/>
                <w:lang w:eastAsia="zh-CN"/>
              </w:rPr>
            </w:pPr>
            <w:r>
              <w:rPr>
                <w:sz w:val="16"/>
              </w:rPr>
              <w:t>No</w:t>
            </w:r>
          </w:p>
        </w:tc>
        <w:tc>
          <w:tcPr>
            <w:tcW w:w="5779" w:type="dxa"/>
            <w:tcBorders>
              <w:top w:val="single" w:sz="4" w:space="0" w:color="auto"/>
            </w:tcBorders>
            <w:noWrap/>
          </w:tcPr>
          <w:p w14:paraId="0047C5DA" w14:textId="52661080" w:rsidR="00C609A1" w:rsidRPr="00813E0C" w:rsidRDefault="00C609A1" w:rsidP="00C609A1">
            <w:pPr>
              <w:pStyle w:val="TAC"/>
              <w:spacing w:before="20" w:after="20"/>
              <w:ind w:left="57" w:right="57"/>
              <w:jc w:val="left"/>
              <w:rPr>
                <w:rFonts w:eastAsia="SimSun"/>
                <w:sz w:val="16"/>
                <w:lang w:eastAsia="zh-CN"/>
              </w:rPr>
            </w:pPr>
            <w:r>
              <w:rPr>
                <w:sz w:val="16"/>
              </w:rPr>
              <w:t>RAN2 does not have explicit agreement on such restriction on DRB.  SpCell is usually for reliable and good coverage. For duplication DRB configuration, SpCell may not have the right numerology to achieve the low latency by URLLC.</w:t>
            </w:r>
            <w:r>
              <w:rPr>
                <w:rFonts w:eastAsia="SimSun" w:hint="eastAsia"/>
                <w:sz w:val="16"/>
                <w:lang w:eastAsia="zh-CN"/>
              </w:rPr>
              <w:t xml:space="preserve"> </w:t>
            </w:r>
            <w:r>
              <w:rPr>
                <w:rFonts w:eastAsia="SimSun"/>
                <w:sz w:val="16"/>
                <w:lang w:val="en-US" w:eastAsia="zh-CN"/>
              </w:rPr>
              <w:t>Furthermore, t</w:t>
            </w:r>
            <w:r>
              <w:rPr>
                <w:sz w:val="16"/>
              </w:rPr>
              <w:t>here is no problem that UE could report failure information through SRB to network if primary and secondary path of DRB are only in SCells.</w:t>
            </w:r>
          </w:p>
        </w:tc>
      </w:tr>
      <w:tr w:rsidR="00C609A1" w:rsidRPr="00172262" w14:paraId="5B4CE967" w14:textId="77777777" w:rsidTr="004F305C">
        <w:trPr>
          <w:trHeight w:val="240"/>
          <w:jc w:val="center"/>
        </w:trPr>
        <w:tc>
          <w:tcPr>
            <w:tcW w:w="2013" w:type="dxa"/>
            <w:noWrap/>
          </w:tcPr>
          <w:p w14:paraId="63864C01" w14:textId="3093D831" w:rsidR="00C609A1" w:rsidRPr="00D44637" w:rsidRDefault="00C609A1" w:rsidP="00C609A1">
            <w:pPr>
              <w:pStyle w:val="TAC"/>
              <w:spacing w:before="20" w:after="20"/>
              <w:ind w:left="57" w:right="57"/>
              <w:jc w:val="left"/>
              <w:rPr>
                <w:sz w:val="16"/>
              </w:rPr>
            </w:pPr>
            <w:r>
              <w:rPr>
                <w:rFonts w:eastAsia="SimSun" w:hint="eastAsia"/>
                <w:sz w:val="16"/>
                <w:lang w:eastAsia="zh-CN"/>
              </w:rPr>
              <w:t>OPPO</w:t>
            </w:r>
          </w:p>
        </w:tc>
        <w:tc>
          <w:tcPr>
            <w:tcW w:w="1784" w:type="dxa"/>
          </w:tcPr>
          <w:p w14:paraId="321EB514" w14:textId="32D99389" w:rsidR="00C609A1" w:rsidRPr="00172262" w:rsidRDefault="00C609A1" w:rsidP="00C609A1">
            <w:pPr>
              <w:pStyle w:val="TAC"/>
              <w:spacing w:before="20" w:after="20"/>
              <w:ind w:left="57" w:right="57"/>
              <w:jc w:val="left"/>
              <w:rPr>
                <w:sz w:val="16"/>
                <w:lang w:eastAsia="ja-JP"/>
              </w:rPr>
            </w:pPr>
            <w:r>
              <w:rPr>
                <w:rFonts w:eastAsia="SimSun"/>
                <w:sz w:val="16"/>
                <w:lang w:eastAsia="zh-CN"/>
              </w:rPr>
              <w:t>No</w:t>
            </w:r>
          </w:p>
        </w:tc>
        <w:tc>
          <w:tcPr>
            <w:tcW w:w="5779" w:type="dxa"/>
            <w:noWrap/>
          </w:tcPr>
          <w:p w14:paraId="5F159DA0" w14:textId="5FFDD066" w:rsidR="00C609A1" w:rsidRPr="00172262" w:rsidRDefault="00C609A1" w:rsidP="00C609A1">
            <w:pPr>
              <w:pStyle w:val="TAC"/>
              <w:spacing w:before="20" w:after="20"/>
              <w:ind w:left="57" w:right="57"/>
              <w:jc w:val="left"/>
              <w:rPr>
                <w:sz w:val="16"/>
              </w:rPr>
            </w:pPr>
            <w:r>
              <w:rPr>
                <w:rFonts w:eastAsia="SimSun" w:hint="eastAsia"/>
                <w:sz w:val="16"/>
                <w:lang w:eastAsia="zh-CN"/>
              </w:rPr>
              <w:t>As commented above.</w:t>
            </w:r>
          </w:p>
        </w:tc>
      </w:tr>
      <w:tr w:rsidR="00C609A1" w:rsidRPr="00172262" w14:paraId="25A7BCC1" w14:textId="77777777" w:rsidTr="004F305C">
        <w:trPr>
          <w:trHeight w:val="240"/>
          <w:jc w:val="center"/>
        </w:trPr>
        <w:tc>
          <w:tcPr>
            <w:tcW w:w="2013" w:type="dxa"/>
            <w:noWrap/>
          </w:tcPr>
          <w:p w14:paraId="30A2EBEF" w14:textId="2730CCE5" w:rsidR="00C609A1" w:rsidRPr="00D44637" w:rsidRDefault="00C609A1" w:rsidP="00C609A1">
            <w:pPr>
              <w:pStyle w:val="TAC"/>
              <w:spacing w:before="20" w:after="20"/>
              <w:ind w:left="57" w:right="57"/>
              <w:jc w:val="left"/>
              <w:rPr>
                <w:sz w:val="16"/>
              </w:rPr>
            </w:pPr>
            <w:r>
              <w:rPr>
                <w:rFonts w:eastAsia="Malgun Gothic" w:hint="eastAsia"/>
                <w:sz w:val="16"/>
                <w:lang w:eastAsia="ko-KR"/>
              </w:rPr>
              <w:t>LG</w:t>
            </w:r>
          </w:p>
        </w:tc>
        <w:tc>
          <w:tcPr>
            <w:tcW w:w="1784" w:type="dxa"/>
          </w:tcPr>
          <w:p w14:paraId="75420FA8" w14:textId="16313FFD" w:rsidR="00C609A1" w:rsidRPr="00172262" w:rsidRDefault="00C609A1" w:rsidP="00C609A1">
            <w:pPr>
              <w:pStyle w:val="TAC"/>
              <w:spacing w:before="20" w:after="20"/>
              <w:ind w:left="57" w:right="57"/>
              <w:jc w:val="left"/>
              <w:rPr>
                <w:sz w:val="16"/>
                <w:lang w:eastAsia="ja-JP"/>
              </w:rPr>
            </w:pPr>
            <w:r>
              <w:rPr>
                <w:rFonts w:eastAsia="Malgun Gothic" w:hint="eastAsia"/>
                <w:sz w:val="16"/>
                <w:lang w:eastAsia="ko-KR"/>
              </w:rPr>
              <w:t>No</w:t>
            </w:r>
          </w:p>
        </w:tc>
        <w:tc>
          <w:tcPr>
            <w:tcW w:w="5779" w:type="dxa"/>
            <w:noWrap/>
          </w:tcPr>
          <w:p w14:paraId="025F8616" w14:textId="7A709BBB" w:rsidR="00C609A1" w:rsidRPr="00172262" w:rsidRDefault="00C609A1" w:rsidP="00C609A1">
            <w:pPr>
              <w:pStyle w:val="TAC"/>
              <w:spacing w:before="20" w:after="20"/>
              <w:ind w:left="57" w:right="57"/>
              <w:jc w:val="left"/>
              <w:rPr>
                <w:sz w:val="16"/>
              </w:rPr>
            </w:pPr>
            <w:r>
              <w:rPr>
                <w:rFonts w:eastAsia="Malgun Gothic"/>
                <w:sz w:val="16"/>
                <w:lang w:eastAsia="ko-KR"/>
              </w:rPr>
              <w:t>According to the current specification, t</w:t>
            </w:r>
            <w:r>
              <w:rPr>
                <w:rFonts w:eastAsia="Malgun Gothic" w:hint="eastAsia"/>
                <w:sz w:val="16"/>
                <w:lang w:eastAsia="ko-KR"/>
              </w:rPr>
              <w:t>here is no such restriction for DRBs.</w:t>
            </w:r>
          </w:p>
        </w:tc>
      </w:tr>
      <w:tr w:rsidR="00C609A1" w:rsidRPr="00172262" w14:paraId="06A0D161" w14:textId="77777777" w:rsidTr="004F305C">
        <w:trPr>
          <w:trHeight w:val="240"/>
          <w:jc w:val="center"/>
        </w:trPr>
        <w:tc>
          <w:tcPr>
            <w:tcW w:w="2013" w:type="dxa"/>
            <w:noWrap/>
          </w:tcPr>
          <w:p w14:paraId="2F010BE3" w14:textId="4D13586F" w:rsidR="00C609A1" w:rsidRPr="00172262" w:rsidRDefault="00C609A1" w:rsidP="00C609A1">
            <w:pPr>
              <w:pStyle w:val="TAC"/>
              <w:spacing w:before="20" w:after="20"/>
              <w:ind w:left="57" w:right="57"/>
              <w:jc w:val="left"/>
              <w:rPr>
                <w:sz w:val="16"/>
              </w:rPr>
            </w:pPr>
            <w:r>
              <w:rPr>
                <w:rFonts w:eastAsia="Malgun Gothic" w:hint="eastAsia"/>
                <w:sz w:val="16"/>
                <w:lang w:eastAsia="ko-KR"/>
              </w:rPr>
              <w:t>ITL</w:t>
            </w:r>
          </w:p>
        </w:tc>
        <w:tc>
          <w:tcPr>
            <w:tcW w:w="1784" w:type="dxa"/>
          </w:tcPr>
          <w:p w14:paraId="5631D0CA" w14:textId="7A346BC5" w:rsidR="00C609A1" w:rsidRPr="00172262" w:rsidRDefault="00C609A1" w:rsidP="00C609A1">
            <w:pPr>
              <w:pStyle w:val="TAC"/>
              <w:spacing w:before="20" w:after="20"/>
              <w:ind w:left="57" w:right="57"/>
              <w:jc w:val="left"/>
              <w:rPr>
                <w:sz w:val="16"/>
                <w:lang w:eastAsia="ja-JP"/>
              </w:rPr>
            </w:pPr>
            <w:r>
              <w:rPr>
                <w:rFonts w:eastAsia="Malgun Gothic" w:hint="eastAsia"/>
                <w:sz w:val="16"/>
                <w:lang w:eastAsia="ko-KR"/>
              </w:rPr>
              <w:t>No</w:t>
            </w:r>
          </w:p>
        </w:tc>
        <w:tc>
          <w:tcPr>
            <w:tcW w:w="5779" w:type="dxa"/>
            <w:noWrap/>
          </w:tcPr>
          <w:p w14:paraId="5023C09B" w14:textId="48174F6A" w:rsidR="00C609A1" w:rsidRPr="00172262" w:rsidRDefault="00C609A1" w:rsidP="00C609A1">
            <w:pPr>
              <w:pStyle w:val="TAC"/>
              <w:spacing w:before="20" w:after="20"/>
              <w:ind w:left="57" w:right="57"/>
              <w:jc w:val="left"/>
              <w:rPr>
                <w:sz w:val="16"/>
              </w:rPr>
            </w:pPr>
            <w:r>
              <w:rPr>
                <w:rFonts w:eastAsia="Malgun Gothic" w:hint="eastAsia"/>
                <w:sz w:val="16"/>
                <w:lang w:eastAsia="ko-KR"/>
              </w:rPr>
              <w:t>No restriction is needed.</w:t>
            </w:r>
            <w:r>
              <w:rPr>
                <w:rFonts w:eastAsia="Malgun Gothic"/>
                <w:sz w:val="16"/>
                <w:lang w:eastAsia="ko-KR"/>
              </w:rPr>
              <w:t xml:space="preserve"> The duplication for DRB can be configured with only SCells.</w:t>
            </w:r>
          </w:p>
        </w:tc>
      </w:tr>
      <w:tr w:rsidR="00C609A1" w:rsidRPr="00172262" w14:paraId="717DAB11" w14:textId="77777777" w:rsidTr="004F305C">
        <w:trPr>
          <w:trHeight w:val="240"/>
          <w:jc w:val="center"/>
        </w:trPr>
        <w:tc>
          <w:tcPr>
            <w:tcW w:w="2013" w:type="dxa"/>
            <w:noWrap/>
          </w:tcPr>
          <w:p w14:paraId="628D2C43" w14:textId="414E703F" w:rsidR="00C609A1" w:rsidRPr="00BD048A" w:rsidRDefault="00C609A1" w:rsidP="00C609A1">
            <w:pPr>
              <w:pStyle w:val="TAC"/>
              <w:spacing w:before="20" w:after="20"/>
              <w:ind w:left="57" w:right="57"/>
              <w:jc w:val="left"/>
              <w:rPr>
                <w:sz w:val="16"/>
                <w:lang w:eastAsia="zh-CN"/>
              </w:rPr>
            </w:pPr>
            <w:r>
              <w:rPr>
                <w:sz w:val="16"/>
              </w:rPr>
              <w:t>Huawei</w:t>
            </w:r>
          </w:p>
        </w:tc>
        <w:tc>
          <w:tcPr>
            <w:tcW w:w="1784" w:type="dxa"/>
          </w:tcPr>
          <w:p w14:paraId="5CE7DEC1" w14:textId="7934F973" w:rsidR="00C609A1" w:rsidRPr="00172262" w:rsidRDefault="00C609A1" w:rsidP="00C609A1">
            <w:pPr>
              <w:pStyle w:val="TAC"/>
              <w:spacing w:before="20" w:after="20"/>
              <w:ind w:left="57" w:right="57"/>
              <w:jc w:val="left"/>
              <w:rPr>
                <w:sz w:val="16"/>
                <w:lang w:eastAsia="ja-JP"/>
              </w:rPr>
            </w:pPr>
            <w:r>
              <w:rPr>
                <w:sz w:val="16"/>
                <w:lang w:eastAsia="ja-JP"/>
              </w:rPr>
              <w:t>No</w:t>
            </w:r>
          </w:p>
        </w:tc>
        <w:tc>
          <w:tcPr>
            <w:tcW w:w="5779" w:type="dxa"/>
            <w:noWrap/>
          </w:tcPr>
          <w:p w14:paraId="465978D7" w14:textId="0052A572" w:rsidR="00C609A1" w:rsidRPr="00172262" w:rsidRDefault="00C609A1" w:rsidP="00C609A1">
            <w:pPr>
              <w:pStyle w:val="TAC"/>
              <w:spacing w:before="20" w:after="20"/>
              <w:ind w:left="57" w:right="57"/>
              <w:jc w:val="left"/>
              <w:rPr>
                <w:sz w:val="16"/>
              </w:rPr>
            </w:pPr>
            <w:r>
              <w:rPr>
                <w:sz w:val="16"/>
              </w:rPr>
              <w:t xml:space="preserve">We can </w:t>
            </w:r>
            <w:proofErr w:type="gramStart"/>
            <w:r>
              <w:rPr>
                <w:sz w:val="16"/>
              </w:rPr>
              <w:t>left</w:t>
            </w:r>
            <w:proofErr w:type="gramEnd"/>
            <w:r>
              <w:rPr>
                <w:sz w:val="16"/>
              </w:rPr>
              <w:t xml:space="preserve"> that part to NW implementation, although SpCell may always be more reliable.</w:t>
            </w:r>
          </w:p>
        </w:tc>
      </w:tr>
      <w:tr w:rsidR="00C609A1" w:rsidRPr="00172262" w14:paraId="10425391" w14:textId="77777777" w:rsidTr="004F305C">
        <w:trPr>
          <w:trHeight w:val="240"/>
          <w:jc w:val="center"/>
        </w:trPr>
        <w:tc>
          <w:tcPr>
            <w:tcW w:w="2013" w:type="dxa"/>
            <w:tcBorders>
              <w:top w:val="single" w:sz="4" w:space="0" w:color="auto"/>
              <w:left w:val="single" w:sz="4" w:space="0" w:color="auto"/>
              <w:bottom w:val="single" w:sz="4" w:space="0" w:color="auto"/>
              <w:right w:val="single" w:sz="4" w:space="0" w:color="auto"/>
            </w:tcBorders>
            <w:noWrap/>
          </w:tcPr>
          <w:p w14:paraId="7D1898A5" w14:textId="7DA1B2D8" w:rsidR="00C609A1" w:rsidRPr="00172262" w:rsidRDefault="00C609A1" w:rsidP="00C609A1">
            <w:pPr>
              <w:pStyle w:val="TAC"/>
              <w:spacing w:before="20" w:after="20"/>
              <w:ind w:left="57" w:right="57"/>
              <w:jc w:val="left"/>
              <w:rPr>
                <w:rFonts w:eastAsia="PMingLiU"/>
                <w:sz w:val="16"/>
                <w:lang w:eastAsia="zh-TW"/>
              </w:rPr>
            </w:pPr>
            <w:r>
              <w:rPr>
                <w:sz w:val="16"/>
              </w:rPr>
              <w:t>Ericsson</w:t>
            </w:r>
          </w:p>
        </w:tc>
        <w:tc>
          <w:tcPr>
            <w:tcW w:w="1784" w:type="dxa"/>
            <w:tcBorders>
              <w:top w:val="single" w:sz="4" w:space="0" w:color="auto"/>
              <w:left w:val="single" w:sz="4" w:space="0" w:color="auto"/>
              <w:bottom w:val="single" w:sz="4" w:space="0" w:color="auto"/>
              <w:right w:val="single" w:sz="4" w:space="0" w:color="auto"/>
            </w:tcBorders>
          </w:tcPr>
          <w:p w14:paraId="33A4DA51" w14:textId="3F56FDA9" w:rsidR="00C609A1" w:rsidRPr="00172262" w:rsidRDefault="00C609A1" w:rsidP="00C609A1">
            <w:pPr>
              <w:pStyle w:val="TAC"/>
              <w:spacing w:before="20" w:after="20"/>
              <w:ind w:left="57" w:right="57"/>
              <w:jc w:val="left"/>
              <w:rPr>
                <w:rFonts w:eastAsia="PMingLiU"/>
                <w:sz w:val="16"/>
                <w:lang w:eastAsia="zh-TW"/>
              </w:rPr>
            </w:pPr>
            <w:r>
              <w:rPr>
                <w:sz w:val="16"/>
                <w:lang w:eastAsia="ja-JP"/>
              </w:rPr>
              <w:t>No</w:t>
            </w:r>
          </w:p>
        </w:tc>
        <w:tc>
          <w:tcPr>
            <w:tcW w:w="5779" w:type="dxa"/>
            <w:tcBorders>
              <w:top w:val="single" w:sz="4" w:space="0" w:color="auto"/>
              <w:left w:val="single" w:sz="4" w:space="0" w:color="auto"/>
              <w:bottom w:val="single" w:sz="4" w:space="0" w:color="auto"/>
              <w:right w:val="single" w:sz="4" w:space="0" w:color="auto"/>
            </w:tcBorders>
            <w:noWrap/>
          </w:tcPr>
          <w:p w14:paraId="56583050" w14:textId="074E018F" w:rsidR="00C609A1" w:rsidRPr="00172262" w:rsidRDefault="00C609A1" w:rsidP="00C609A1">
            <w:pPr>
              <w:pStyle w:val="TAC"/>
              <w:spacing w:before="20" w:after="20"/>
              <w:ind w:left="57" w:right="57"/>
              <w:jc w:val="left"/>
              <w:rPr>
                <w:rFonts w:eastAsia="PMingLiU"/>
                <w:sz w:val="16"/>
                <w:lang w:eastAsia="zh-TW"/>
              </w:rPr>
            </w:pPr>
            <w:r>
              <w:rPr>
                <w:sz w:val="16"/>
              </w:rPr>
              <w:t xml:space="preserve">According to the current specification, in case of DRBs two RLC entities may be mapped only to SCells. However, we don’t see an issue in this particular scenario as if an RLF happens (i.e., due to reaching the maximum number of RLC retransmission) then the </w:t>
            </w:r>
            <w:proofErr w:type="spellStart"/>
            <w:r>
              <w:rPr>
                <w:sz w:val="16"/>
              </w:rPr>
              <w:t>FailureInformation</w:t>
            </w:r>
            <w:proofErr w:type="spellEnd"/>
            <w:r>
              <w:rPr>
                <w:sz w:val="16"/>
              </w:rPr>
              <w:t xml:space="preserve"> message is sent anyway over the SRB mapped to the SpCell.</w:t>
            </w:r>
          </w:p>
        </w:tc>
      </w:tr>
      <w:tr w:rsidR="00C609A1" w:rsidRPr="00172262" w14:paraId="594E158D" w14:textId="77777777" w:rsidTr="004F305C">
        <w:trPr>
          <w:trHeight w:val="240"/>
          <w:jc w:val="center"/>
        </w:trPr>
        <w:tc>
          <w:tcPr>
            <w:tcW w:w="2013" w:type="dxa"/>
            <w:tcBorders>
              <w:top w:val="single" w:sz="4" w:space="0" w:color="auto"/>
              <w:left w:val="single" w:sz="4" w:space="0" w:color="auto"/>
              <w:bottom w:val="single" w:sz="4" w:space="0" w:color="auto"/>
              <w:right w:val="single" w:sz="4" w:space="0" w:color="auto"/>
            </w:tcBorders>
            <w:noWrap/>
          </w:tcPr>
          <w:p w14:paraId="621E67D6" w14:textId="239D9FF6" w:rsidR="00C609A1" w:rsidRDefault="00C609A1" w:rsidP="00C609A1">
            <w:pPr>
              <w:pStyle w:val="TAC"/>
              <w:spacing w:before="20" w:after="20"/>
              <w:ind w:left="57" w:right="57"/>
              <w:jc w:val="left"/>
              <w:rPr>
                <w:sz w:val="16"/>
              </w:rPr>
            </w:pPr>
            <w:r>
              <w:rPr>
                <w:rFonts w:eastAsia="SimSun" w:hint="eastAsia"/>
                <w:sz w:val="16"/>
                <w:lang w:eastAsia="zh-CN"/>
              </w:rPr>
              <w:t>Intel</w:t>
            </w:r>
          </w:p>
        </w:tc>
        <w:tc>
          <w:tcPr>
            <w:tcW w:w="1784" w:type="dxa"/>
            <w:tcBorders>
              <w:top w:val="single" w:sz="4" w:space="0" w:color="auto"/>
              <w:left w:val="single" w:sz="4" w:space="0" w:color="auto"/>
              <w:bottom w:val="single" w:sz="4" w:space="0" w:color="auto"/>
              <w:right w:val="single" w:sz="4" w:space="0" w:color="auto"/>
            </w:tcBorders>
          </w:tcPr>
          <w:p w14:paraId="43827860" w14:textId="710E5CC2" w:rsidR="00C609A1" w:rsidRDefault="00C609A1" w:rsidP="00C609A1">
            <w:pPr>
              <w:pStyle w:val="TAC"/>
              <w:spacing w:before="20" w:after="20"/>
              <w:ind w:left="57" w:right="57"/>
              <w:jc w:val="left"/>
              <w:rPr>
                <w:sz w:val="16"/>
                <w:lang w:eastAsia="ja-JP"/>
              </w:rPr>
            </w:pPr>
            <w:r>
              <w:rPr>
                <w:rFonts w:hint="eastAsia"/>
                <w:sz w:val="16"/>
                <w:lang w:eastAsia="ja-JP"/>
              </w:rPr>
              <w:t>No</w:t>
            </w:r>
          </w:p>
        </w:tc>
        <w:tc>
          <w:tcPr>
            <w:tcW w:w="5779" w:type="dxa"/>
            <w:tcBorders>
              <w:top w:val="single" w:sz="4" w:space="0" w:color="auto"/>
              <w:left w:val="single" w:sz="4" w:space="0" w:color="auto"/>
              <w:bottom w:val="single" w:sz="4" w:space="0" w:color="auto"/>
              <w:right w:val="single" w:sz="4" w:space="0" w:color="auto"/>
            </w:tcBorders>
            <w:noWrap/>
          </w:tcPr>
          <w:p w14:paraId="7F50C979" w14:textId="4F0967C0" w:rsidR="00C609A1" w:rsidRDefault="00C609A1" w:rsidP="00C609A1">
            <w:pPr>
              <w:pStyle w:val="TAC"/>
              <w:spacing w:before="20" w:after="20"/>
              <w:ind w:left="57" w:right="57"/>
              <w:jc w:val="left"/>
              <w:rPr>
                <w:sz w:val="16"/>
              </w:rPr>
            </w:pPr>
            <w:r>
              <w:rPr>
                <w:rFonts w:hint="eastAsia"/>
                <w:sz w:val="16"/>
              </w:rPr>
              <w:t>W</w:t>
            </w:r>
            <w:r>
              <w:rPr>
                <w:sz w:val="16"/>
              </w:rPr>
              <w:t>e share the same view as other companies that there are no explicit RAN2 agreements on the restriction.</w:t>
            </w:r>
          </w:p>
        </w:tc>
      </w:tr>
    </w:tbl>
    <w:p w14:paraId="4F547731" w14:textId="623BB413" w:rsidR="00A209D6" w:rsidRPr="006E13D1" w:rsidRDefault="00A209D6" w:rsidP="00940173">
      <w:r w:rsidRPr="006E13D1">
        <w:t xml:space="preserve"> </w:t>
      </w:r>
    </w:p>
    <w:p w14:paraId="766D6D29" w14:textId="0C49DA31" w:rsidR="00A209D6" w:rsidRPr="006E13D1" w:rsidRDefault="00A209D6" w:rsidP="00A209D6">
      <w:pPr>
        <w:pStyle w:val="Heading1"/>
      </w:pPr>
      <w:r w:rsidRPr="006E13D1">
        <w:t>3</w:t>
      </w:r>
      <w:r w:rsidRPr="006E13D1">
        <w:tab/>
      </w:r>
      <w:r w:rsidR="005D27CC">
        <w:t>Conclusion</w:t>
      </w:r>
    </w:p>
    <w:p w14:paraId="6C60FFDC" w14:textId="66BF96C1" w:rsidR="00A209D6" w:rsidRPr="006E13D1" w:rsidRDefault="008D437A" w:rsidP="00A209D6">
      <w:r>
        <w:t>The</w:t>
      </w:r>
      <w:r w:rsidR="000C6C6D">
        <w:t xml:space="preserve"> large majority of companies </w:t>
      </w:r>
      <w:r>
        <w:t xml:space="preserve">who took part </w:t>
      </w:r>
      <w:r w:rsidR="00020DA7">
        <w:t>in</w:t>
      </w:r>
      <w:r>
        <w:t xml:space="preserve"> this email discussion </w:t>
      </w:r>
      <w:r w:rsidR="00026AA8">
        <w:t xml:space="preserve">have expressed the view that no restrictions are needed for the configuration of </w:t>
      </w:r>
      <w:r w:rsidR="00026AA8" w:rsidRPr="00106B50">
        <w:rPr>
          <w:i/>
        </w:rPr>
        <w:t>allowedServingCells</w:t>
      </w:r>
      <w:r w:rsidR="00026AA8">
        <w:t>. As a result, no CR to 38.331 is required.</w:t>
      </w:r>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EA5BE" w14:textId="77777777" w:rsidR="00D57D17" w:rsidRDefault="00D57D17">
      <w:r>
        <w:separator/>
      </w:r>
    </w:p>
  </w:endnote>
  <w:endnote w:type="continuationSeparator" w:id="0">
    <w:p w14:paraId="66906724" w14:textId="77777777" w:rsidR="00D57D17" w:rsidRDefault="00D57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FB304" w14:textId="77777777" w:rsidR="00B35D27" w:rsidRDefault="00B35D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21767" w14:textId="77777777" w:rsidR="00B35D27" w:rsidRDefault="00B35D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3F92F" w14:textId="77777777" w:rsidR="00B35D27" w:rsidRDefault="00B35D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D06EF4" w14:textId="77777777" w:rsidR="00D57D17" w:rsidRDefault="00D57D17">
      <w:r>
        <w:separator/>
      </w:r>
    </w:p>
  </w:footnote>
  <w:footnote w:type="continuationSeparator" w:id="0">
    <w:p w14:paraId="28FEFF23" w14:textId="77777777" w:rsidR="00D57D17" w:rsidRDefault="00D57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F1BBE" w14:textId="77777777" w:rsidR="00B35D27" w:rsidRDefault="00B35D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13EDD" w14:textId="77777777" w:rsidR="00B35D27" w:rsidRDefault="00B35D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AC84D" w14:textId="77777777" w:rsidR="00B35D27" w:rsidRDefault="00B35D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67870149"/>
    <w:multiLevelType w:val="hybridMultilevel"/>
    <w:tmpl w:val="CB8690E8"/>
    <w:lvl w:ilvl="0" w:tplc="8D3E042E">
      <w:numFmt w:val="bullet"/>
      <w:lvlText w:val="-"/>
      <w:lvlJc w:val="left"/>
      <w:pPr>
        <w:ind w:left="417" w:hanging="360"/>
      </w:pPr>
      <w:rPr>
        <w:rFonts w:ascii="Arial" w:eastAsia="Malgun Gothic" w:hAnsi="Arial" w:cs="Arial" w:hint="default"/>
      </w:rPr>
    </w:lvl>
    <w:lvl w:ilvl="1" w:tplc="04090003" w:tentative="1">
      <w:start w:val="1"/>
      <w:numFmt w:val="bullet"/>
      <w:lvlText w:val=""/>
      <w:lvlJc w:val="left"/>
      <w:pPr>
        <w:ind w:left="857" w:hanging="400"/>
      </w:pPr>
      <w:rPr>
        <w:rFonts w:ascii="Wingdings" w:hAnsi="Wingdings" w:hint="default"/>
      </w:rPr>
    </w:lvl>
    <w:lvl w:ilvl="2" w:tplc="04090005" w:tentative="1">
      <w:start w:val="1"/>
      <w:numFmt w:val="bullet"/>
      <w:lvlText w:val=""/>
      <w:lvlJc w:val="left"/>
      <w:pPr>
        <w:ind w:left="1257" w:hanging="400"/>
      </w:pPr>
      <w:rPr>
        <w:rFonts w:ascii="Wingdings" w:hAnsi="Wingdings" w:hint="default"/>
      </w:rPr>
    </w:lvl>
    <w:lvl w:ilvl="3" w:tplc="04090001" w:tentative="1">
      <w:start w:val="1"/>
      <w:numFmt w:val="bullet"/>
      <w:lvlText w:val=""/>
      <w:lvlJc w:val="left"/>
      <w:pPr>
        <w:ind w:left="1657" w:hanging="400"/>
      </w:pPr>
      <w:rPr>
        <w:rFonts w:ascii="Wingdings" w:hAnsi="Wingdings" w:hint="default"/>
      </w:rPr>
    </w:lvl>
    <w:lvl w:ilvl="4" w:tplc="04090003" w:tentative="1">
      <w:start w:val="1"/>
      <w:numFmt w:val="bullet"/>
      <w:lvlText w:val=""/>
      <w:lvlJc w:val="left"/>
      <w:pPr>
        <w:ind w:left="2057" w:hanging="400"/>
      </w:pPr>
      <w:rPr>
        <w:rFonts w:ascii="Wingdings" w:hAnsi="Wingdings" w:hint="default"/>
      </w:rPr>
    </w:lvl>
    <w:lvl w:ilvl="5" w:tplc="04090005" w:tentative="1">
      <w:start w:val="1"/>
      <w:numFmt w:val="bullet"/>
      <w:lvlText w:val=""/>
      <w:lvlJc w:val="left"/>
      <w:pPr>
        <w:ind w:left="2457" w:hanging="400"/>
      </w:pPr>
      <w:rPr>
        <w:rFonts w:ascii="Wingdings" w:hAnsi="Wingdings" w:hint="default"/>
      </w:rPr>
    </w:lvl>
    <w:lvl w:ilvl="6" w:tplc="04090001" w:tentative="1">
      <w:start w:val="1"/>
      <w:numFmt w:val="bullet"/>
      <w:lvlText w:val=""/>
      <w:lvlJc w:val="left"/>
      <w:pPr>
        <w:ind w:left="2857" w:hanging="400"/>
      </w:pPr>
      <w:rPr>
        <w:rFonts w:ascii="Wingdings" w:hAnsi="Wingdings" w:hint="default"/>
      </w:rPr>
    </w:lvl>
    <w:lvl w:ilvl="7" w:tplc="04090003" w:tentative="1">
      <w:start w:val="1"/>
      <w:numFmt w:val="bullet"/>
      <w:lvlText w:val=""/>
      <w:lvlJc w:val="left"/>
      <w:pPr>
        <w:ind w:left="3257" w:hanging="400"/>
      </w:pPr>
      <w:rPr>
        <w:rFonts w:ascii="Wingdings" w:hAnsi="Wingdings" w:hint="default"/>
      </w:rPr>
    </w:lvl>
    <w:lvl w:ilvl="8" w:tplc="04090005" w:tentative="1">
      <w:start w:val="1"/>
      <w:numFmt w:val="bullet"/>
      <w:lvlText w:val=""/>
      <w:lvlJc w:val="left"/>
      <w:pPr>
        <w:ind w:left="3657"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0EA"/>
    <w:rsid w:val="000201F3"/>
    <w:rsid w:val="00020DA7"/>
    <w:rsid w:val="00026AA8"/>
    <w:rsid w:val="00033397"/>
    <w:rsid w:val="00040095"/>
    <w:rsid w:val="00042956"/>
    <w:rsid w:val="00073C9C"/>
    <w:rsid w:val="00080512"/>
    <w:rsid w:val="00090468"/>
    <w:rsid w:val="000B2DE2"/>
    <w:rsid w:val="000B6C5D"/>
    <w:rsid w:val="000B7BCF"/>
    <w:rsid w:val="000C522B"/>
    <w:rsid w:val="000C6C6D"/>
    <w:rsid w:val="000D58AB"/>
    <w:rsid w:val="00106B50"/>
    <w:rsid w:val="00112F1A"/>
    <w:rsid w:val="001220DB"/>
    <w:rsid w:val="00145075"/>
    <w:rsid w:val="00171153"/>
    <w:rsid w:val="001741A0"/>
    <w:rsid w:val="00175FA0"/>
    <w:rsid w:val="0017704F"/>
    <w:rsid w:val="00182474"/>
    <w:rsid w:val="00185391"/>
    <w:rsid w:val="00193C0E"/>
    <w:rsid w:val="00194CD0"/>
    <w:rsid w:val="001A51F0"/>
    <w:rsid w:val="001B49C9"/>
    <w:rsid w:val="001C4F79"/>
    <w:rsid w:val="001F168B"/>
    <w:rsid w:val="001F7831"/>
    <w:rsid w:val="00204045"/>
    <w:rsid w:val="0020712B"/>
    <w:rsid w:val="00215D94"/>
    <w:rsid w:val="0022606D"/>
    <w:rsid w:val="00231728"/>
    <w:rsid w:val="002369A1"/>
    <w:rsid w:val="00247E1D"/>
    <w:rsid w:val="002610D8"/>
    <w:rsid w:val="002747EC"/>
    <w:rsid w:val="0028075B"/>
    <w:rsid w:val="002855BF"/>
    <w:rsid w:val="002F0D22"/>
    <w:rsid w:val="002F17A2"/>
    <w:rsid w:val="003172DC"/>
    <w:rsid w:val="00325AE3"/>
    <w:rsid w:val="00326069"/>
    <w:rsid w:val="0033280D"/>
    <w:rsid w:val="0035462D"/>
    <w:rsid w:val="00364B41"/>
    <w:rsid w:val="00382D1C"/>
    <w:rsid w:val="00396ECB"/>
    <w:rsid w:val="003A41EF"/>
    <w:rsid w:val="003B40AD"/>
    <w:rsid w:val="003C4E37"/>
    <w:rsid w:val="003D1353"/>
    <w:rsid w:val="003D620B"/>
    <w:rsid w:val="003E16BE"/>
    <w:rsid w:val="003E6075"/>
    <w:rsid w:val="003F4E28"/>
    <w:rsid w:val="004006E8"/>
    <w:rsid w:val="00401855"/>
    <w:rsid w:val="00415A25"/>
    <w:rsid w:val="004604E4"/>
    <w:rsid w:val="00465587"/>
    <w:rsid w:val="00477455"/>
    <w:rsid w:val="004A1F7B"/>
    <w:rsid w:val="004C44D2"/>
    <w:rsid w:val="004D3578"/>
    <w:rsid w:val="004D380D"/>
    <w:rsid w:val="004E213A"/>
    <w:rsid w:val="00503171"/>
    <w:rsid w:val="00506C28"/>
    <w:rsid w:val="00534DA0"/>
    <w:rsid w:val="00534E31"/>
    <w:rsid w:val="00537230"/>
    <w:rsid w:val="00543E6C"/>
    <w:rsid w:val="00565087"/>
    <w:rsid w:val="0056573F"/>
    <w:rsid w:val="005723D9"/>
    <w:rsid w:val="005D27CC"/>
    <w:rsid w:val="005D7C0D"/>
    <w:rsid w:val="005E138D"/>
    <w:rsid w:val="00602132"/>
    <w:rsid w:val="00611566"/>
    <w:rsid w:val="00624AD0"/>
    <w:rsid w:val="00643512"/>
    <w:rsid w:val="00646D99"/>
    <w:rsid w:val="00656910"/>
    <w:rsid w:val="00657D61"/>
    <w:rsid w:val="00677A15"/>
    <w:rsid w:val="00683763"/>
    <w:rsid w:val="006A09EF"/>
    <w:rsid w:val="006B3ADD"/>
    <w:rsid w:val="006C1E95"/>
    <w:rsid w:val="006C66D8"/>
    <w:rsid w:val="006D1E24"/>
    <w:rsid w:val="006E1417"/>
    <w:rsid w:val="006E7428"/>
    <w:rsid w:val="006F6A2C"/>
    <w:rsid w:val="00710201"/>
    <w:rsid w:val="007342B5"/>
    <w:rsid w:val="00734A5B"/>
    <w:rsid w:val="00744E76"/>
    <w:rsid w:val="00757D40"/>
    <w:rsid w:val="00761AE5"/>
    <w:rsid w:val="007634B2"/>
    <w:rsid w:val="00781F0F"/>
    <w:rsid w:val="0078727C"/>
    <w:rsid w:val="0079049D"/>
    <w:rsid w:val="00793DC5"/>
    <w:rsid w:val="007B18D8"/>
    <w:rsid w:val="007C095F"/>
    <w:rsid w:val="007C2DD0"/>
    <w:rsid w:val="008028A4"/>
    <w:rsid w:val="00813245"/>
    <w:rsid w:val="00813E86"/>
    <w:rsid w:val="00835362"/>
    <w:rsid w:val="008768CA"/>
    <w:rsid w:val="00877EF9"/>
    <w:rsid w:val="00880559"/>
    <w:rsid w:val="008966E4"/>
    <w:rsid w:val="008B5306"/>
    <w:rsid w:val="008D2E4D"/>
    <w:rsid w:val="008D437A"/>
    <w:rsid w:val="008F396F"/>
    <w:rsid w:val="008F3C1A"/>
    <w:rsid w:val="008F4791"/>
    <w:rsid w:val="0090271F"/>
    <w:rsid w:val="00902DB9"/>
    <w:rsid w:val="0090466A"/>
    <w:rsid w:val="009222B1"/>
    <w:rsid w:val="00933777"/>
    <w:rsid w:val="00936071"/>
    <w:rsid w:val="00940173"/>
    <w:rsid w:val="00940212"/>
    <w:rsid w:val="00942EC2"/>
    <w:rsid w:val="00953DD5"/>
    <w:rsid w:val="00954577"/>
    <w:rsid w:val="00961B32"/>
    <w:rsid w:val="00962509"/>
    <w:rsid w:val="00962640"/>
    <w:rsid w:val="00970DB3"/>
    <w:rsid w:val="00971EB2"/>
    <w:rsid w:val="00974BB0"/>
    <w:rsid w:val="0098332A"/>
    <w:rsid w:val="009939FD"/>
    <w:rsid w:val="009A0AF3"/>
    <w:rsid w:val="009B07CD"/>
    <w:rsid w:val="009C19E9"/>
    <w:rsid w:val="009D0733"/>
    <w:rsid w:val="009D74A6"/>
    <w:rsid w:val="009F5278"/>
    <w:rsid w:val="00A043A1"/>
    <w:rsid w:val="00A10F02"/>
    <w:rsid w:val="00A204CA"/>
    <w:rsid w:val="00A209D6"/>
    <w:rsid w:val="00A53724"/>
    <w:rsid w:val="00A6679B"/>
    <w:rsid w:val="00A82346"/>
    <w:rsid w:val="00A9671C"/>
    <w:rsid w:val="00AA1553"/>
    <w:rsid w:val="00AB5CA6"/>
    <w:rsid w:val="00B05380"/>
    <w:rsid w:val="00B05962"/>
    <w:rsid w:val="00B15449"/>
    <w:rsid w:val="00B27303"/>
    <w:rsid w:val="00B35D27"/>
    <w:rsid w:val="00B478CC"/>
    <w:rsid w:val="00B47FD1"/>
    <w:rsid w:val="00B516BB"/>
    <w:rsid w:val="00B84DB2"/>
    <w:rsid w:val="00BC3555"/>
    <w:rsid w:val="00BE0D8A"/>
    <w:rsid w:val="00BE2450"/>
    <w:rsid w:val="00C02893"/>
    <w:rsid w:val="00C1000F"/>
    <w:rsid w:val="00C12B51"/>
    <w:rsid w:val="00C24650"/>
    <w:rsid w:val="00C25465"/>
    <w:rsid w:val="00C33079"/>
    <w:rsid w:val="00C372C6"/>
    <w:rsid w:val="00C42523"/>
    <w:rsid w:val="00C609A1"/>
    <w:rsid w:val="00C83A13"/>
    <w:rsid w:val="00C9068C"/>
    <w:rsid w:val="00C92967"/>
    <w:rsid w:val="00CA3D0C"/>
    <w:rsid w:val="00CA5094"/>
    <w:rsid w:val="00CA654B"/>
    <w:rsid w:val="00CB72B8"/>
    <w:rsid w:val="00CD4C7B"/>
    <w:rsid w:val="00D02CC9"/>
    <w:rsid w:val="00D33BE3"/>
    <w:rsid w:val="00D3511B"/>
    <w:rsid w:val="00D3792D"/>
    <w:rsid w:val="00D55E47"/>
    <w:rsid w:val="00D57D17"/>
    <w:rsid w:val="00D62E19"/>
    <w:rsid w:val="00D62FE5"/>
    <w:rsid w:val="00D67CD1"/>
    <w:rsid w:val="00D70F0D"/>
    <w:rsid w:val="00D738D6"/>
    <w:rsid w:val="00D80795"/>
    <w:rsid w:val="00D854BE"/>
    <w:rsid w:val="00D87E00"/>
    <w:rsid w:val="00D9134D"/>
    <w:rsid w:val="00D96D11"/>
    <w:rsid w:val="00DA7A03"/>
    <w:rsid w:val="00DB0DB8"/>
    <w:rsid w:val="00DB1818"/>
    <w:rsid w:val="00DC309B"/>
    <w:rsid w:val="00DC4DA2"/>
    <w:rsid w:val="00DD373C"/>
    <w:rsid w:val="00DF2515"/>
    <w:rsid w:val="00E3537F"/>
    <w:rsid w:val="00E46C08"/>
    <w:rsid w:val="00E471CF"/>
    <w:rsid w:val="00E62835"/>
    <w:rsid w:val="00E77645"/>
    <w:rsid w:val="00E83697"/>
    <w:rsid w:val="00EA66C9"/>
    <w:rsid w:val="00EC3DBF"/>
    <w:rsid w:val="00EC4A25"/>
    <w:rsid w:val="00EE4654"/>
    <w:rsid w:val="00F025A2"/>
    <w:rsid w:val="00F034AC"/>
    <w:rsid w:val="00F07388"/>
    <w:rsid w:val="00F10D03"/>
    <w:rsid w:val="00F2026E"/>
    <w:rsid w:val="00F2210A"/>
    <w:rsid w:val="00F37743"/>
    <w:rsid w:val="00F54A3D"/>
    <w:rsid w:val="00F54CB0"/>
    <w:rsid w:val="00F653B8"/>
    <w:rsid w:val="00F71B89"/>
    <w:rsid w:val="00F7353C"/>
    <w:rsid w:val="00F76F8F"/>
    <w:rsid w:val="00F91068"/>
    <w:rsid w:val="00F941DF"/>
    <w:rsid w:val="00FA1266"/>
    <w:rsid w:val="00FB36FA"/>
    <w:rsid w:val="00FC1192"/>
    <w:rsid w:val="00FD55E9"/>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0010EA"/>
    <w:rPr>
      <w:color w:val="605E5C"/>
      <w:shd w:val="clear" w:color="auto" w:fill="E1DFDD"/>
    </w:rPr>
  </w:style>
  <w:style w:type="character" w:styleId="FollowedHyperlink">
    <w:name w:val="FollowedHyperlink"/>
    <w:basedOn w:val="DefaultParagraphFont"/>
    <w:rsid w:val="00415A2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775576">
      <w:bodyDiv w:val="1"/>
      <w:marLeft w:val="0"/>
      <w:marRight w:val="0"/>
      <w:marTop w:val="0"/>
      <w:marBottom w:val="0"/>
      <w:divBdr>
        <w:top w:val="none" w:sz="0" w:space="0" w:color="auto"/>
        <w:left w:val="none" w:sz="0" w:space="0" w:color="auto"/>
        <w:bottom w:val="none" w:sz="0" w:space="0" w:color="auto"/>
        <w:right w:val="none" w:sz="0" w:space="0" w:color="auto"/>
      </w:divBdr>
    </w:div>
    <w:div w:id="42299255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2_RL2/TSGR2_105/Docs/R2-1901230.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3gpp.org/ftp/tsg_ran/WG2_RL2/TSGR2_105/Docs/R2-1901051.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3gpp.org/ftp/tsg_ran/WG2_RL2/TSGR2_105/Docs/R2-1902681.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tsg_ran/WG2_RL2/TSGR2_99/Report/R2-1710001.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WG2_RL2/TSGR2_AHs/2018_07_NR/Docs/R2-1810775.zip"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117</TotalTime>
  <Pages>3</Pages>
  <Words>1407</Words>
  <Characters>7374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8764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cp:lastModifiedBy>
  <cp:revision>130</cp:revision>
  <dcterms:created xsi:type="dcterms:W3CDTF">2016-08-12T03:53:00Z</dcterms:created>
  <dcterms:modified xsi:type="dcterms:W3CDTF">2019-03-07T12:22:00Z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22878fef-d9e6-4806-889b-02fe857ff436</vt:lpwstr>
  </property>
</Properties>
</file>